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52.2003.196 vom 4. September 2003</w:t>
      </w:r>
    </w:p>
    <w:p>
      <w:r>
        <w:t>TI Tribunale d'appello, 2003-09-04, IT</w:t>
      </w:r>
    </w:p>
    <w:p>
      <w:r>
        <w:rPr>
          <w:b/>
        </w:rPr>
        <w:t xml:space="preserve">Quelle: </w:t>
      </w:r>
      <w:r>
        <w:t>https://mcp.opencaselaw.ch/entscheid/ti_gerichte_52.2003.196</w:t>
      </w:r>
    </w:p>
    <w:p>
      <w:r>
        <w:t>FR: TI_GERICHTE 52.2003.196 du 4 septembre 2003</w:t>
      </w:r>
    </w:p>
    <w:p>
      <w:r>
        <w:t>IT: TI_GERICHTE 52.2003.196 del 4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competenza del Tribunale cantonale amministrativo è data dall’art. 71 cpv. 3 LEsPubb. La legittimazione attiva della ricorrente, direttamente toccata dal provvedimento censurato, è certa (art. 43 PAmm). Il ricorso, tempestivo (art. 46 cpv. 1 PAmm), è dunque ricevibile in ordine e può essere evaso sulla base degli atti (art. 18 PAmm).</w:t>
      </w:r>
    </w:p>
    <w:p>
      <w:r>
        <w:rPr>
          <w:b/>
        </w:rPr>
        <w:t>E. 2</w:t>
      </w:r>
    </w:p>
    <w:p>
      <w:r>
        <w:t>Non si prelevano né spese, né tassa di giudizio.</w:t>
      </w:r>
    </w:p>
    <w:p>
      <w:r>
        <w:rPr>
          <w:b/>
        </w:rPr>
        <w:t>E. 3</w:t>
      </w:r>
    </w:p>
    <w:p>
      <w:r>
        <w:t>Lo Stato del Cantone Ticino rifonderà alla ricorrente fr. 1'000.-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