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52.2003.169 vom 3. September 2003</w:t>
      </w:r>
    </w:p>
    <w:p>
      <w:r>
        <w:t>TI Tribunale d'appello, 2003-09-03, IT</w:t>
      </w:r>
    </w:p>
    <w:p>
      <w:r>
        <w:rPr>
          <w:b/>
        </w:rPr>
        <w:t xml:space="preserve">Quelle: </w:t>
      </w:r>
      <w:r>
        <w:t>https://mcp.opencaselaw.ch/entscheid/ti_gerichte_52.2003.169</w:t>
      </w:r>
    </w:p>
    <w:p>
      <w:r>
        <w:t>FR: TI_GERICHTE 52.2003.169 du 3 septembre 2003</w:t>
      </w:r>
    </w:p>
    <w:p>
      <w:r>
        <w:t>IT: TI_GERICHTE 52.2003.169 del 3 settembre 2003</w:t>
      </w:r>
    </w:p>
    <w:p>
      <w:pPr>
        <w:pStyle w:val="Heading2"/>
      </w:pPr>
      <w:r>
        <w:t>Regeste</w:t>
      </w:r>
    </w:p>
    <w:p>
      <w:r>
        <w:t>Sentenza o decisione senza scheda</w:t>
      </w:r>
    </w:p>
    <w:p>
      <w:pPr>
        <w:pStyle w:val="Heading2"/>
      </w:pPr>
      <w:r>
        <w:t>Erwägungen</w:t>
      </w:r>
    </w:p>
    <w:p>
      <w:r>
        <w:rPr>
          <w:b/>
        </w:rPr>
        <w:t>E. 6</w:t>
      </w:r>
    </w:p>
    <w:p>
      <w:r>
        <w:t>x 2) non presta il fianco a critiche. · locali gioco bambini: pur suscitando forti perplessità, dal profilo dell'idoneità funzionale, i due grandi locali gioco per bambini previsti nel sottotetto non sono certamente sovradimensionati. Vanno quindi disattese le obiezioni sollevate al riguardo dal ricorrente. 3.3. Riepilogando i conteggi sin qui esaminati, emerge che la SUL della costruzione supera di 71.41 mq (= 2'597.38 - 301.97) il limite ammissibile. Il sorpasso è consistente (3.2 %). Non rientra di certo nei limiti di una ragionevole tolleranza. Trattandosi oltre tutto di nuova costruzione, progettata con una serie di discutibili accorgimenti (ripostigli, vuoti per balconate, locali gioco ecc.), destinati a ridurre la SUL, è escluso che il difetto possa essere tollerato per motivi di proporzionalità. L'esperienza ha peraltro dimostrato che la tolleranza di modici superamenti di indice ha indotto gli operatori del ramo a non attenersi ai parametri di legge, progettando sistematicamente in modo da superarli leggermente. Il difetto riscontrato non può nemmeno essere facilmente corretto mediante l'imposizione di clausole accessorie. Da questo profilo, la decisione del Consiglio di Stato non regge pertanto alla critica. 4.   In questa sede, l'insorgente ha contestato anche l'altezza dell'immobile, ritenendo che superi di m 1.10 quella ammessa dall'art. 44.2 NAPR (16.50). L'eccezione è proponibile. Contrariamente a quanto assume il resistente, non è una nuova domanda esclusa dall'art. 63 cpv. 2 PAmm. La domanda di annullamento del giudizio governativo, sottoposta dal ricorrente a questo tribunale, resta infatti immutata. L'eccezione è tuttavia infondata, poiché l'altezza di m 17.60 che il ricorrente deduce dal piano facciata est (vista D-D) si riferisce al colmo delle piccole falde inserite nella falda principale del tetto rivolta verso sud. 5.   Sulla scorta delle considerazioni che precedono, il ricorso va dunque accolto, annullando la decisione governativa impugnata e confermando la decisione 18 novembre 2002 con cui il municipio ha respinto la domanda di costruzione. La tassa di giustizia, commisurata al valore della costruzione ed alla minuziosa verifica imposta a questo tribunale dalle imprecisioni dei piani e dei conteggi, è posta a carico del resistente al pari delle ripetibili. Per questi motivi, visti gli art. 21, 38 LE; 3, 18, 28, 31, 60, 61, 65 PAmm; dichiara e pronuncia: 1.   Il ricorso è accolto. §.  Di conseguenza: 1.1. la decisione 6 maggio 2003 del Consiglio di Stato (n. 1944) è annullata. 1.2. la decisione 18 novembre 2002 con cui il municipio di __________ ha respinto la domanda di costruzione inoltrata da __________ per l'edificazione di uno stabile di 15 appartamenti sulle part. n. __________ e __________ RF è confermata. 2.   La tassa di giustizia di fr. 2'500.- è posta a carico del resistente, che rifonderà identico importo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