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52.2003.155 vom 20. Juni 2003</w:t>
      </w:r>
    </w:p>
    <w:p>
      <w:r>
        <w:t>TI Tribunale d'appello, 2003-06-20, IT</w:t>
      </w:r>
    </w:p>
    <w:p>
      <w:r>
        <w:rPr>
          <w:b/>
        </w:rPr>
        <w:t xml:space="preserve">Quelle: </w:t>
      </w:r>
      <w:r>
        <w:t>https://mcp.opencaselaw.ch/entscheid/ti_gerichte_52.2003.155</w:t>
      </w:r>
    </w:p>
    <w:p>
      <w:r>
        <w:t>FR: TI_GERICHTE 52.2003.155 du 20 juin 2003</w:t>
      </w:r>
    </w:p>
    <w:p>
      <w:r>
        <w:t>IT: TI_GERICHTE 52.2003.155 del 20 giugno 2003</w:t>
      </w:r>
    </w:p>
    <w:p>
      <w:pPr>
        <w:pStyle w:val="Heading2"/>
      </w:pPr>
      <w:r>
        <w:t>Volltext</w:t>
      </w:r>
    </w:p>
    <w:p>
      <w:r>
        <w:t>Incarto n.52.2003.155</w:t>
      </w:r>
    </w:p>
    <w:p>
      <w:r>
        <w:t>Lugano</w:t>
      </w:r>
    </w:p>
    <w:p>
      <w:r>
        <w:t>20 giugno 2003</w:t>
      </w:r>
    </w:p>
    <w:p>
      <w:r>
        <w:t>In nomedella Repubblica e Cantonedel Ticino</w:t>
      </w:r>
    </w:p>
    <w:p>
      <w:r>
        <w:t>Il presidente del Tribunale cantonale amministrativo</w:t>
      </w:r>
    </w:p>
    <w:p>
      <w:r>
        <w:t>Lorenzo Anastasi</w:t>
      </w:r>
    </w:p>
    <w:p>
      <w:r>
        <w:t>assistito</w:t>
      </w:r>
    </w:p>
    <w:p>
      <w:r>
        <w:t>dal segretario:</w:t>
      </w:r>
    </w:p>
    <w:p>
      <w:r>
        <w:t>Leopoldo Crivelli</w:t>
      </w:r>
    </w:p>
    <w:p>
      <w:r>
        <w:t>statuendo sul ricorso 12 maggio 2003 di</w:t>
      </w:r>
    </w:p>
    <w:p>
      <w:r>
        <w:t>__________</w:t>
      </w:r>
    </w:p>
    <w:p>
      <w:r>
        <w:t>contro</w:t>
      </w:r>
    </w:p>
    <w:p>
      <w:r>
        <w:t>la decisione 16 aprile 2003, n. 1672, del Consiglio di Stato, che ha respinto l'impugnativa presentata dalla ricorrente avverso la risoluzione 13 febbraio 2003, con la quale la Sezione della circolazione le ha revocato la licenza di condurre veicoli a motore per la durata di un mese;</w:t>
      </w:r>
    </w:p>
    <w:p>
      <w:r>
        <w:t>preso atto che il 13 giugno 2003 il patrocinatore della ricorrente ha comunicato di ritirare il ricorso;</w:t>
      </w:r>
    </w:p>
    <w:p>
      <w:r>
        <w:t>considerato pertanto che il procedimento è così esaurito;</w:t>
      </w:r>
    </w:p>
    <w:p>
      <w:r>
        <w:t>decreta:</w:t>
      </w:r>
    </w:p>
    <w:p>
      <w:r>
        <w:t>__________</w:t>
      </w:r>
    </w:p>
    <w:p>
      <w:r>
        <w:t>Il presidente</w:t>
      </w:r>
    </w:p>
    <w:p>
      <w:r>
        <w:t>del Tribunale cantonale amministrativo</w:t>
      </w:r>
    </w:p>
    <w:p>
      <w:r>
        <w:t>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