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52.2003.151 vom 4. Juli 2003</w:t>
      </w:r>
    </w:p>
    <w:p>
      <w:r>
        <w:t>TI Tribunale d'appello, 2003-07-04, IT</w:t>
      </w:r>
    </w:p>
    <w:p>
      <w:r>
        <w:rPr>
          <w:b/>
        </w:rPr>
        <w:t xml:space="preserve">Quelle: </w:t>
      </w:r>
      <w:r>
        <w:t>https://mcp.opencaselaw.ch/entscheid/ti_gerichte_52.2003.151</w:t>
      </w:r>
    </w:p>
    <w:p>
      <w:r>
        <w:t>FR: TI_GERICHTE 52.2003.151 du 4 juillet 2003</w:t>
      </w:r>
    </w:p>
    <w:p>
      <w:r>
        <w:t>IT: TI_GERICHTE 52.2003.151 del 4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e le spese, per complessivi fr. 600.--, sono poste a carico del ricorrente.</w:t>
      </w:r>
    </w:p>
    <w:p>
      <w:r>
        <w:rPr>
          <w:b/>
        </w:rPr>
        <w:t>E. 3</w:t>
      </w:r>
    </w:p>
    <w:p>
      <w:r>
        <w:t>Contro la presente decisione, nella misura in cui è fondata sul diritto pubblico federale, è dato ricorso di diritto amministrativo al Tribunale federale di Losanna nel termine di 30 giorni dall’intimazione.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