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52.2003.118 vom 2. Juli 2003</w:t>
      </w:r>
    </w:p>
    <w:p>
      <w:r>
        <w:t>TI Tribunale d'appello, 2003-07-02, IT</w:t>
      </w:r>
    </w:p>
    <w:p>
      <w:r>
        <w:rPr>
          <w:b/>
        </w:rPr>
        <w:t xml:space="preserve">Quelle: </w:t>
      </w:r>
      <w:r>
        <w:t>https://mcp.opencaselaw.ch/entscheid/ti_gerichte_52.2003.118</w:t>
      </w:r>
    </w:p>
    <w:p>
      <w:r>
        <w:t>FR: TI_GERICHTE 52.2003.118 du 2 juillet 2003</w:t>
      </w:r>
    </w:p>
    <w:p>
      <w:r>
        <w:t>IT: TI_GERICHTE 52.2003.118 del 2 luglio 2003</w:t>
      </w:r>
    </w:p>
    <w:p>
      <w:pPr>
        <w:pStyle w:val="Heading2"/>
      </w:pPr>
      <w:r>
        <w:t>Regeste</w:t>
      </w:r>
    </w:p>
    <w:p>
      <w:r>
        <w:t>Sentenza o decisione senza scheda</w:t>
      </w:r>
    </w:p>
    <w:p>
      <w:pPr>
        <w:pStyle w:val="Heading2"/>
      </w:pPr>
      <w:r>
        <w:t>Erwägungen</w:t>
      </w:r>
    </w:p>
    <w:p>
      <w:r>
        <w:rPr>
          <w:b/>
        </w:rPr>
        <w:t>E. 23</w:t>
      </w:r>
    </w:p>
    <w:p>
      <w:r>
        <w:t>CC; E. Ratti, Il comune, vol. 1, pag. 72 e segg.). 3.   3.1. Nel caso concreto, per quanto concerne il requisito della residenza (dimora), è assodato che __________ risiede a __________ ininterrottamente dal novembre 1999, e da allora non ha più fatto rientro al suo domicilio a __________. Ininfluente è segnatamente il fatto che dal la casa di riposo “__________ ” si è trasferita nella casa per anziani medicalizzata “__________ ”, essendo entrambi gli stabilimenti situati nel comune di __________. Nella scelta di alloggiare in questo tipo di strutture della capitale per un così lungo periodo si verificano i presupposti esatti dalla legge per l’adempimento della condizione oggettiva della residenza. Ciò a maggior ragione se si pon mente al fatto che la legge non impone particolari requisiti di tempo per potersi domiciliare in un comune. In particolare, la LOC non condiziona il diritto di domiciliarsi ad un periodo più o meno lungo di residenza nel comune. 3.2. Rimane da esaminare se sussista la condizione soggettiva, ossia l’intenzione della resistente di stabilirsi durevolmente nel luogo di dimora che, come visto, presuppone la volontà manifesta da parte dell’interessata di fare del luogo dove risiede il centro dei propri interessi personali. __________ ha scelto volontariamente di trasferirsi a Bellinzona nell’intento di trovare una sistemazione che le permettesse, vista l’età ormai avanzata, di essere assistita convenientemente in relazione alla sua situazione di salute. Inoltre, nello stesso comune è domiciliata la sorella, con la quale la resistente intrattiene contatti regolari. Il trasferimento, anch’esso volontario, da “__________ ” a casa “__________ ” conferma inoltre l’intenzione della resistente di fare del comune di __________ il centro dei suoi interessi, cosa che le permette di continuare ad intrattenere le relazioni con la sorella. In pratica, la casa di cure rappresenta l’attuale punto di riferimento di __________ e deve essere considerato quale suo focolare domestico. Da qui può facilmente tenersi in contatto con la parente, nonché disporre di quelle cure che hanno condizionato la sua scelta di spostarsi a __________. Anche il fatto che la domanda di cambiamento di domicilio è stata inoltrata dopo circa tre anni dall’inizio del soggiorno presso l’istituto di cura “__________ ”, lascia intendere che la resistente ha sviluppato progressivamente la consapevolezza che il suo centro d’interessi si situa ora a __________ e non più a __________, dove non ha più una dimora. Orbene, in simili circostanze ben può ritenersi adempiuta anche la condizione soggettiva, vale a dire l'intenzione della resistente di stabilirsi durevolmente a __________. 4.   Sulla scorta delle considerazioni che precedono, è dunque nel comune di __________ che deve essere individuato il centro degli interessi di __________ e pertanto il suo domicilio ai sensi dell’art. 6 LOC. Gli oneri supplementari che il comune di __________ sarà chiamato ad assumersi in applicazione della Legge anziani non permettono di giungere ad una diversa conclusione. L’aspetto finanziario legato al domicilio della resistente non influisce sui presupposti legali sanciti dalla LOC per ottenere il domicilio nel comune di __________. 5.   Il ricorso va di conseguenza respinto e la risoluzione governativa confermata. Visto il ruolo del comune, che ha ricorso per motivi legati alla sua funzione, non si prelevano né tassa né spese di giustizia (art. 28 PAmm). Non si giustifica nemmeno l’assegna-zione di un’indennità a titolo di ripetibili, (art. 31 PAmm), poiché la resistente non si è avvalsa di un avvocato iscritto all’albo. Per questi motivi, visti gli art. 24 Cost; 23 CC; 6, 208 LOC; 3, 18, 28, 31, 43, 46, 60, 61 PAmm; dichiara e pronuncia: 1. Il ricorso è respinto . 2.   Non si prelevano né tassa di giustizia né spese.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