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52.2003.102 vom 3. September 2003</w:t>
      </w:r>
    </w:p>
    <w:p>
      <w:r>
        <w:t>TI Tribunale d'appello, 2003-09-03, IT</w:t>
      </w:r>
    </w:p>
    <w:p>
      <w:r>
        <w:rPr>
          <w:b/>
        </w:rPr>
        <w:t xml:space="preserve">Quelle: </w:t>
      </w:r>
      <w:r>
        <w:t>https://mcp.opencaselaw.ch/entscheid/ti_gerichte_52.2003.102</w:t>
      </w:r>
    </w:p>
    <w:p>
      <w:r>
        <w:t>FR: TI_GERICHTE 52.2003.102 du 3 septembre 2003</w:t>
      </w:r>
    </w:p>
    <w:p>
      <w:r>
        <w:t>IT: TI_GERICHTE 52.2003.102 del 3 settembre 2003</w:t>
      </w:r>
    </w:p>
    <w:p>
      <w:pPr>
        <w:pStyle w:val="Heading2"/>
      </w:pPr>
      <w:r>
        <w:t>Regeste</w:t>
      </w:r>
    </w:p>
    <w:p>
      <w:r>
        <w:t>Sentenza o decisione senza scheda</w:t>
      </w:r>
    </w:p>
    <w:p>
      <w:pPr>
        <w:pStyle w:val="Heading2"/>
      </w:pPr>
      <w:r>
        <w:t>Erwägungen</w:t>
      </w:r>
    </w:p>
    <w:p>
      <w:r>
        <w:rPr>
          <w:b/>
        </w:rPr>
        <w:t>E. 10</w:t>
      </w:r>
    </w:p>
    <w:p>
      <w:r>
        <w:t>cpv. 1 lett. a e b LDDS. Difatti, se il provvedimento è giustificato dal profilo dell'art. 5 cpv. 1 Allegato I ALC, lo è ancora di più se esaminato dal punto di vista della LDDS, la quale prevede su questo punto una regolamentazione più severa per lo straniero. Giova in questo senso ricordare che la regola del periodo di 2 anni di detenzione, elaborata dalla prassi per i casi di espulsione ai sensi dell'art. 10 cpv.1 lett. a LDDS ha solo carattere indicativo (DTF 120 Ib 6, consid. 4; Wurzburger, La jurisprudence récente du Tribunal fédéral en matière de police des étrangers, in RDAF 53/1997 311 e 321). 7.2. Le autorità inferiori non hanno pertanto disatteso le disposizioni legali invocate. Difatti, la decisione censurata non procede da un esercizio abusivo del potere di apprezzamento che la legge riserva all'autorità di polizia degli stranieri in ordine alla valutazione dell'adeguatezza della misura adottata. L'autorità di prime cure non poteva certo limitarsi a minacciare il ricorrente di espulsione (ammonimento), come egli richiedeva. 8.   Sulla scorta di quanto precede, il ricorso dev'essere respinto. Con l'emanazione del presente giudizio, la domanda di concessione dell'effetto sospensivo al gravame diviene priva di oggetto. La tassa di giustizia e le spese seguono la soccombenza (art. 28 PAmm). Per questi motivi, visti gli art. 100 cpv. 1 lett. b n. 3 OG; 10 e 14 Cost.; 5 e 8 CEDU; l'ALC e l'Allegato I; Convenzione sui diritti del fanciullo; Patto ONU II; 6, 9, 10, 11 LDDS; 8, 16 ODDS; 10 LALPS; 3, 18, 28, 43, 46, 47, 60, 61 PAmm; dichiara e pronuncia: 1.   Il ricorso è respinto. 2.   La tassa di giustizia e le spese, per complessivi fr. 1'500.–, sono a carico del ricorrente. 3.   Contro la presente decisione, è dato ricorso di diritto amministrativo al Tribunale federale a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