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52.2002.97 vom 17. April 2002</w:t>
      </w:r>
    </w:p>
    <w:p>
      <w:r>
        <w:t>TI Tribunale d'appello, 2002-04-17, IT</w:t>
      </w:r>
    </w:p>
    <w:p>
      <w:r>
        <w:rPr>
          <w:b/>
        </w:rPr>
        <w:t xml:space="preserve">Quelle: </w:t>
      </w:r>
      <w:r>
        <w:t>https://mcp.opencaselaw.ch/entscheid/ti_gerichte_52.2002.97</w:t>
      </w:r>
    </w:p>
    <w:p>
      <w:r>
        <w:t>FR: TI_GERICHTE 52.2002.97 du 17 avril 2002</w:t>
      </w:r>
    </w:p>
    <w:p>
      <w:r>
        <w:t>IT: TI_GERICHTE 52.2002.97 del 17 aprile 2002</w:t>
      </w:r>
    </w:p>
    <w:p>
      <w:pPr>
        <w:pStyle w:val="Heading2"/>
      </w:pPr>
      <w:r>
        <w:t>Volltext</w:t>
      </w:r>
    </w:p>
    <w:p>
      <w:r>
        <w:t>Incarto n.52.2002.00097</w:t>
      </w:r>
    </w:p>
    <w:p>
      <w:r>
        <w:t>Lugano</w:t>
      </w:r>
    </w:p>
    <w:p>
      <w:r>
        <w:t>17 aprile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7 marzo 2002 di</w:t>
      </w:r>
    </w:p>
    <w:p>
      <w:r>
        <w:t>__________</w:t>
      </w:r>
    </w:p>
    <w:p>
      <w:r>
        <w:t>contro</w:t>
      </w:r>
    </w:p>
    <w:p>
      <w:r>
        <w:t>la decisione 20 febbraio 2002, no. 768, del Consiglio di Stato, che ha respinto l'impugnativa presentata dall'insorgente avverso la risoluzione 6 dicembre 2001 con cui la Sezione della circolazione gli ha revocato la licenza di condurre veicoli a motore per il periodo 1. giugno/30 novembre 2001 incluso;</w:t>
      </w:r>
    </w:p>
    <w:p>
      <w:r>
        <w:t>preso atto che il 15 aprile 2002 il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