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52.2002.89 vom 9. April 2002</w:t>
      </w:r>
    </w:p>
    <w:p>
      <w:r>
        <w:t>TI Tribunale d'appello, 2002-04-09, IT</w:t>
      </w:r>
    </w:p>
    <w:p>
      <w:r>
        <w:rPr>
          <w:b/>
        </w:rPr>
        <w:t xml:space="preserve">Quelle: </w:t>
      </w:r>
      <w:r>
        <w:t>https://mcp.opencaselaw.ch/entscheid/ti_gerichte_52.2002.89</w:t>
      </w:r>
    </w:p>
    <w:p>
      <w:r>
        <w:t>FR: TI_GERICHTE 52.2002.89 du 9 avril 2002</w:t>
      </w:r>
    </w:p>
    <w:p>
      <w:r>
        <w:t>IT: TI_GERICHTE 52.2002.89 del 9 aprile 2002</w:t>
      </w:r>
    </w:p>
    <w:p>
      <w:pPr>
        <w:pStyle w:val="Heading2"/>
      </w:pPr>
      <w:r>
        <w:t>Regeste</w:t>
      </w:r>
    </w:p>
    <w:p>
      <w:r>
        <w:t>Sentenza o decisione senza scheda</w:t>
      </w:r>
    </w:p>
    <w:p>
      <w:pPr>
        <w:pStyle w:val="Heading2"/>
      </w:pPr>
      <w:r>
        <w:t>Erwägungen</w:t>
      </w:r>
    </w:p>
    <w:p>
      <w:r>
        <w:rPr>
          <w:b/>
        </w:rPr>
        <w:t>E. 8</w:t>
      </w:r>
    </w:p>
    <w:p>
      <w:r>
        <w:t>CEDU). Pertanto, essendo la decisione impugnata suscettibile di essere dedotta davanti all'alta Corte federale mediante un ricorso di diritto amministrativo, si deve concludere che la competenza di questo Tribunale a statuire sull'impugnativa inoltrata da __________ è data. Se il permesso in oggetto possa essergli rifiutato è questione di merito, non di ammissibilità. 1.5. Il gravame, tempestivo (art. 10 LALPS; 46 cpv. 1 PAmm) e presentato da una persona senz'altro legittimata a ricorrere (art. 43 PAmm), è dunque ricevibile in ordine, ma solo nella misura in cui verte contro la decisione sul mancato rinnovo del permesso di dimora. La richiesta dell'insorgente, volta al rilascio di un permesso di domicilio per sé e per sua figlia, è irricevibile in questa sede. Con il ricorso non sono infatti ammesse nuove domande (art. 63 cpv. 2 PAmm). 1.6. La presente decisione può infine essere resa sulla base degli atti, senza procedere all'audizione della moglie del ricorrente __________. Come si vedrà in seguito, la prova non appare idonea a procurare a questo Tribunale la conoscenza di ulteriori elementi di rilievo per il giudizio (art. 18 cpv. 1 PAmm). 2.   Il ricorrente rimprovera al Consiglio di Stato di non aver interrogato sua moglie __________, violando in tal modo il suo diritto di essere sentito. Secondo l'insorgente, essa avrebbe potuto confermare la ripresa della loro relazione coniugale. 2.1. La natura ed i limiti del diritto di essere sentito sono determinati innanzi tutto dalla normativa procedurale cantonale. Se questa normativa risulta insufficiente, valgono le garanzie minime dedotte dagli art. 29 Cost., norma che assicura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Moretti).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di rilievo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2.2. Il Consiglio di Stato, dopo che in fase di procedura il ricorrente aveva finalmente presentato il suo passaporto valido, ha fondato il proprio giudizio sull'abuso manifesto del diritto, da parte dell'interessato, nell'invocare il vincolo coniugale per poter continuare a dimorare sul territorio elvetico. La risoluzione governativa è stata emanata dopo che il Servizio dei ricorsi del Consiglio di Stato aveva esperito un'istruttoria e aveva permesso al ricorrente di formulare osservazioni su tali risultanze (v. rapporto di segnalazione 19 novembre 2001 della Polizia cantonale sul luogo di residenza di __________), osservazioni che l'interessato ha presentato l'11 gennaio 2002. In queste circostanze l'Esecutivo cantonale non ha ritenuto esperire un'ulteriore istruttoria e raccogliere in particolare la testimonianza della moglie del ricorrente, in quanto la documentazione annessa era ormai sufficiente per l'emanazione della decisione. Siffatta motivazione basta per giustificare il diniego, da parte dell'Esecutivo cantonale, di svolgere ulteriori accertamenti sulla relazione tra i coniugi __________. Tenuto conto delle prove già presenti nell'incarto, questo Tribunale ritiene anch'esso che non sia necessario sentire __________, per gli stessi motivi. 2.3. In virtù del principio dell'apprezzamento anticipato delle prove offerte, la richiesta formulata dall'insorgente non viene pertanto accolta. 3.   Come già indicato in precedenza (consid. 1.4.),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che prevede tale diritto, non vuole proteggere (Häfelin/Müller, Grundriss des Allgemeinen Verwaltungsrechts, p. 133; Imboden/Rhinow, Schweizerische Verwaltungsrechtsprechung,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3c). Tale soluzione è stata scelta al fine di evitare che la presenza in Svizzera dello straniero dipenda dalla volontà del coniuge. 4.   4.1. I coniugi __________ si sono sposati il __________. Nel marzo 2000, essi si sono separati di fatto (v. dichiarazione congiunta 23 maggio 2000 di __________ e __________) e da allora hanno organizzato ciascuno autonomamente la propria vita. Il ricorrente è andato a vivere con sua figlia dapprima a __________, successivamente a __________, mentre sua moglie ha allacciato una nuova relazione. Da quanto precede risulta pertanto in modo manifesto come l'insorgente si richiami ad un matrimonio che, da due anni, è privo di ogni contenuto e scopo al fine di continuare a beneficiare del permesso di dimora e raggiungere i cinque anni di residenza regolare e ininterrotta per ottenere un permesso di domicilio. Di conseguenza, __________ commette abuso di diritto, richiamandosi al matrimonio per poter continuare a soggiornare in Svizzera. L'unione coniugale esiste solo dal lato formale e la separazione appare definitiva. 4.2. Gli argomenti addotti dall'insorgente non permettono di giungere a diversa conclusione. Certo, il 23 maggio 2000 i coniugi __________ hanno asserito, tra l'altro, che "pur vivendo al momento separati, la nostra relazione matrimoniale non è venuta meno. Crediamo comunque che le nostre difficoltà matrimoniali non siano insanabili, ragione per cui la nostra separazione dovrebbe essere di natura passeggera (…)" . Il 17 gennaio 2001 il ricorrente ha tuttavia dichiarato alla Polizia cantonale che non aveva più avuto contatti con sua moglie (v. verbale d'interrogatorio dell'insorgente, pag. 2 in fine). I motivi che hanno condotto a questa separazione non sono determinanti. Del resto, che l'insorgente adduca ora di aver ripreso le relazioni con la sua consorte nella primavera 2001 non dimostra affatto che tra di loro sussista un vero e proprio legame sentimentale e che abbiano la volontà di ricomporre l'unione coniugale. L'istruttoria esperita dal Consiglio di Stato non ha fatto altro che confermare che i coniugi __________ non hanno mai più ripreso la vita in comune. La polizia ha infatti accertato che il 1° ottobre 2001, l'insorgente si è trasferito a __________ presso il ristorante __________, suo luogo di lavoro, dove ha a disposizione una stanza (v. rapporto di segnalazione Polizia cantonale 19 novembre 2001). 5.   Il ricorrente non potrebbe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Per appellarsi alle garanzie sancite dall'art. 8 CEDU, lo straniero deve dimostrare che tra lui e la persona che beneficia del diritto di risiedere in Svizzera esiste una relazione stretta, intatta ed effettivamente vissuta (DTF 122 II 5 consid. 1e, 289 consid. 1c, 385 consid. 1c; 118 Ib 145). Orbene, a seguito dell'accertamento della mera natura formale del vincolo matrimoniale, che non merita tutela alcuna siccome abusivo, non si può ritenere che esista un legame familiare intatto ed effettivamente vissuto tra __________ e sua moglie __________. 6.   L'insorgente, il quale soggiorna regolarmente in Svizzera da soli quattro anni, non invoca l'impossibilità di un suo rientro in Iugoslavia, dove è nato, oppure in Slovenia, dove si è trasferito all'età di 4 anni ed è rimasto fino al 36° anno di età (verbale d'interrogatorio di polizia menzionato del 17 gennaio 2001, pag. 1; curriculum vitae 28 giugno 1996). Egli non pretende nemmeno che non possa seguirlo sua figlia __________, la quale ha vissuto in Slovenia presso la madre __________ fino all'età di 10 anni, prima di essere autorizzata a giungere in Svizzera nell'ambito del ricongiungimento famigliare. Infine, la figlia dell'insorgente non ha intensi legami con __________ (v. anche ricorso, ad 9 pag. 7). 7.   Sulla scorta di quanto precede, nella misura in cui è ricevibile, il ricorso dev'essere respinto. La tassa di giustizia e le spese seguono la soccombenza (art. 28 PAmm). Per questi motivi, visti gli art. 1, 4, 7, 9, 12 LDDS; 8 ODDS; 8 CEDU; 100 cpv. 1 lett. b n. 3 OG; 10 lett. a LALPS; 3, 18, 28, 43, 46, 60, 61, 63 PAmm; dichiara e pronuncia: 1.   In quanto ricevibile, il ricorso è respinto. §.  Di conseguenza __________, cittadino iugoslavo, e __________, cittadina slovena, sono tenuti a lasciare il territorio cantonale entro il 20 giugno 2002 , notificandone la partenza al competente ufficio regionale degli stranieri. 2.   Tassa e spese di giustizia, per complessivi fr. 800.–,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