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52.2002.478 vom 31. Januar 2003</w:t>
      </w:r>
    </w:p>
    <w:p>
      <w:r>
        <w:t>TI Tribunale d'appello, 2003-01-31, IT</w:t>
      </w:r>
    </w:p>
    <w:p>
      <w:r>
        <w:rPr>
          <w:b/>
        </w:rPr>
        <w:t xml:space="preserve">Quelle: </w:t>
      </w:r>
      <w:r>
        <w:t>https://mcp.opencaselaw.ch/entscheid/ti_gerichte_52.2002.478</w:t>
      </w:r>
    </w:p>
    <w:p>
      <w:r>
        <w:t>FR: TI_GERICHTE 52.2002.478 du 31 janvier 2003</w:t>
      </w:r>
    </w:p>
    <w:p>
      <w:r>
        <w:t>IT: TI_GERICHTE 52.2002.478 del 31 gennaio 2003</w:t>
      </w:r>
    </w:p>
    <w:p>
      <w:pPr>
        <w:pStyle w:val="Heading2"/>
      </w:pPr>
      <w:r>
        <w:t>Volltext</w:t>
      </w:r>
    </w:p>
    <w:p>
      <w:r>
        <w:t>Incarto n.52.2002.478</w:t>
      </w:r>
    </w:p>
    <w:p>
      <w:r>
        <w:t>Lugano</w:t>
      </w:r>
    </w:p>
    <w:p>
      <w:r>
        <w:t>31 gennaio 2003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29 novembre 2002 del</w:t>
      </w:r>
    </w:p>
    <w:p>
      <w:r>
        <w:t>Comune di __________</w:t>
      </w:r>
    </w:p>
    <w:p>
      <w:r>
        <w:t>contro</w:t>
      </w:r>
    </w:p>
    <w:p>
      <w:r>
        <w:t>la decisione 12 novembre 2002, n. 5411, del Consiglio di Stato, in materia di prescrizioni locali concernenti il traffico;</w:t>
      </w:r>
    </w:p>
    <w:p>
      <w:r>
        <w:t>preso atto che il 29 gennaio 2003 il ricorrente ha comunicato di ritirare il ricorso;</w:t>
      </w:r>
    </w:p>
    <w:p>
      <w:r>
        <w:t>rilevato che i resistenti si sono avvalsi di un legale iscritto all'albo, per cui si giustifica la corresponsione di un'indennità per ripetibili;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