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52.2002.475 vom 2. Oktober 2003</w:t>
      </w:r>
    </w:p>
    <w:p>
      <w:r>
        <w:t>TI Tribunale d'appello, 2003-10-02, IT</w:t>
      </w:r>
    </w:p>
    <w:p>
      <w:r>
        <w:rPr>
          <w:b/>
        </w:rPr>
        <w:t xml:space="preserve">Quelle: </w:t>
      </w:r>
      <w:r>
        <w:t>https://mcp.opencaselaw.ch/entscheid/ti_gerichte_52.2002.475</w:t>
      </w:r>
    </w:p>
    <w:p>
      <w:r>
        <w:t>FR: TI_GERICHTE 52.2002.475 du 2 octobre 2003</w:t>
      </w:r>
    </w:p>
    <w:p>
      <w:r>
        <w:t>IT: TI_GERICHTE 52.2002.475 del 2 ottobre 2003</w:t>
      </w:r>
    </w:p>
    <w:p>
      <w:pPr>
        <w:pStyle w:val="Heading2"/>
      </w:pPr>
      <w:r>
        <w:t>Regeste</w:t>
      </w:r>
    </w:p>
    <w:p>
      <w:r>
        <w:t>Sentenza o decisione senza scheda</w:t>
      </w:r>
    </w:p>
    <w:p>
      <w:pPr>
        <w:pStyle w:val="Heading2"/>
      </w:pPr>
      <w:r>
        <w:t>Erwägungen</w:t>
      </w:r>
    </w:p>
    <w:p>
      <w:r>
        <w:rPr>
          <w:b/>
        </w:rPr>
        <w:t>E. 6</w:t>
      </w:r>
    </w:p>
    <w:p>
      <w:r>
        <w:t>cpv. 2 primo periodo Allegato I ALC. In questo senso, il fatto che la sua domanda di rinnovo del permesso di dimora temporaneo (L) per il 2001 sia da tempo divenuta priva di oggetto non gli preclude la possibilità di ottenere l'autorizzazione richiesta anche per l'anno in corso. 1.4. In virtù dell’art. 100 cpv. 1 lett. b n. 3 OG, la censura di violazione dell'ALC potrebbe essere sollevata dal ricorrente dinnanzi al Tribunale federale nell’ambito di un ricorso di diritto amministrativo; ne discende che il presente gravame, inoltrato tempestivamente (art. 46 cpv. 1 Pamm) da una persona legittimata ad agire (art. 43 Pamm), risulta in linea di massima ricevibile in ordine e può essere evaso sulla base degli atti, senza istruttoria (art. 18 cpv. 1 Pamm). Il fatto di sapere se il permesso in oggetto possa essere rilasciato o no è una questione di merito e non di ammissibilità dell’impugnativa. 2.   2.1. Alla luce delle disposizioni transitorie previste dall'ALC (art. 10 cpv. 1 e 2 ALC e art. 26 Allegato I ALC), essendo il permesso di soggiorno limitato a 120 giorni l'anno, l'autorizzazione richiesta dall'insorgente soggiace a delle limitazioni di ordine qualitativo (priorità dei lavoratori indigeni, controllo delle condizioni di salario e di lavoro; art. 7 cpv. 1 e art. 9 OLS), ma non quantitativo (contingentamento). G iusta l'art. 7 cpv. 1 OLS i permessi per l'esercizio di una prima attività lucrativa, per il cambiamento di posto o di professione oppure la proroga della dimora possono essere rilasciati soltanto se il datore di lavoro non trova alcun lavoratore indigeno che abbia l'intenzione e sia capace di svolgere l'attività alle condizioni di salario e di lavoro usuali per il luogo e la professione . L'art.</w:t>
      </w:r>
    </w:p>
    <w:p>
      <w:r>
        <w:rPr>
          <w:b/>
        </w:rPr>
        <w:t>E. 9</w:t>
      </w:r>
    </w:p>
    <w:p>
      <w:r>
        <w:t>a 13 LDDS; 8 ODDS; 2, 7, 9, 43, 49 OLS; 1, 4, 10, 16 ALC; 2, 5, 26 Allegato I ALC; 9, 24, 37 OLCP; 10 lett. a LALPS; 3, 18, 21, 28, 31, 43, 46, 47, 60, 61, 65 PAmm; dichiara e pronuncia: 1.   Il ricorso è accolto. §.  Di conseguenza 1.1.   la decisione 5 novembre 2002 (n. 5213) del Consiglio di Stato è annullata; 1.2.   gli atti sono ritornati al Consiglio di Stato affinché proceda ai sensi dei considerandi. 2.   Non si prelevano né tasse né spese di giustizia. 3.   Lo Stato del Cantone Ticino rifonderà al ricorrente fr. 1'200.– a titolo di ripetibili.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