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52.2002.442 vom 7. Juli 2003</w:t>
      </w:r>
    </w:p>
    <w:p>
      <w:r>
        <w:t>TI Tribunale d'appello, 2003-07-07, IT</w:t>
      </w:r>
    </w:p>
    <w:p>
      <w:r>
        <w:rPr>
          <w:b/>
        </w:rPr>
        <w:t xml:space="preserve">Quelle: </w:t>
      </w:r>
      <w:r>
        <w:t>https://mcp.opencaselaw.ch/entscheid/ti_gerichte_52.2002.442</w:t>
      </w:r>
    </w:p>
    <w:p>
      <w:r>
        <w:t>FR: TI_GERICHTE 52.2002.442 du 7 juillet 2003</w:t>
      </w:r>
    </w:p>
    <w:p>
      <w:r>
        <w:t>IT: TI_GERICHTE 52.2002.442 del 7 luglio 2003</w:t>
      </w:r>
    </w:p>
    <w:p>
      <w:pPr>
        <w:pStyle w:val="Heading2"/>
      </w:pPr>
      <w:r>
        <w:t>Regeste</w:t>
      </w:r>
    </w:p>
    <w:p>
      <w:r>
        <w:t>Sentenza o decisione senza scheda</w:t>
      </w:r>
    </w:p>
    <w:p>
      <w:pPr>
        <w:pStyle w:val="Heading2"/>
      </w:pPr>
      <w:r>
        <w:t>Erwägungen</w:t>
      </w:r>
    </w:p>
    <w:p>
      <w:r>
        <w:rPr>
          <w:b/>
        </w:rPr>
        <w:t>E. 37</w:t>
      </w:r>
    </w:p>
    <w:p>
      <w:r>
        <w:t>NAPR Mezzovico, 48 NAPR Losone, 65 NAPR Minusio, 36 NAPR Riva San Vitale, 58 NAPR Vezia). Nulla permette di ritenere che il legislatore comunale abbia inteso scostarsi da tali disposizioni, adottando una soluzione diversa, concepita in funzione delle particolari esigenze del comune di __________. Dal profilo sistematico, va invece rilevato che la norma è caratterizzata dalla definizione di un valore unitario di SUL, stabilito in funzione del tipo di destinazione, al quale viene fatto riferimento per determinare il numero di posteggi obbligatori. Appare dunque plausibile che anche per gli edifici ad uso abitativo il legislatore comunale abbia coerentemente inteso graduare il fabbisogno di posteggi in funzione della SUL, assumendo quale unità di misura il valore di 100 mq. Analoghe considerazioni valgono dal profilo dell'interpretazione teleologica. Se lo scopo della norma è quello di fissare un numero di posteggi commisurato al fabbisogno indotto dall'utilizzazione degli edifici, ben si può in effetti ammettere che il legislatore comunale abbia in realtà inteso imporre un posto auto ogni 100 mq di SUL e non ogni appartamento . Ferme queste premesse, l'interpretazione proposta dal municipio, che ha ravvisato nella norma una prescrizione volta a sancire l'obbligo di dotare le abitazioni di un posto auto ogni 100 mq di SUL o frazione, ritenuto un minimo di un posteggio per appartamento, appare ragionevole e sostenibile. Quest'interpretazione pone anzitutto l'art. 45 cpv. 2 NAPR in consonanza con le disposizioni dalle quali incontestabilmente deriva. Esigendo almeno un posto auto per ogni appartamento sino a 100 mq di SUL ed un ulteriore posteggio ogni 100 mq o frazione oltre questo limite, il significato attribuito dal municipio alla norma si conforma inoltre pienamente al criterio di proporzionalità lineare con la SUL, adottato dall'art. 45 NAPR per definire il fabbisogno di posteggi occorrenti per le altre utilizzazioni (uffici, negozi, laboratori ed esercizi pubblici). Così intesa, la norma risponde infine compiutamente allo scopo della legge, che è quello di imporre la realizzazione di un numero di posteggi commisurato al numero di veicoli stazionanti, che è a sua volta determinato dalla superficie effettivamente destinata ad una certa utilizzazione e non dal numero di appartamenti. Non può invece essere accreditata, siccome insostenibile, la tesi del ricorrente, secondo cui la norma si limiterebbe ad esigere soltanto un posteggio per ogni singolo appartamento sino a 200 mq di SUL. Nessuna valida ragione, riconducibile al testo, alle finalità od alla sistematica della norma in esame è in effetti atta a suffragare una simile interpretazione. Avallandola, si giungerebbe peraltro a conclusioni che il legislatore non può sicuramente aver voluto, poiché il fabbisogno di posteggi delle abitazioni oltrepassanti questo limite non potrebbe essere determinato. 3.3. Ferme queste premesse, va quindi confermato il fabbisogno di due posteggi ritenuto dal municipio in base alla SUL di 175 mq accertata. Di conseguenza, conforme al diritto risulta l'imposizione di un contributo sostitutivo di fr. 4'000.- per posteggi mancanti. 4.   In esito alle considerazioni che precedono il ricorso va quindi respinto e la decisione impugnata confermata. La tassa di giustizia è posta a carico dell’insorgente, secondo soccombenza (art. 28 PAmm). Per questi motivi, visti gli art. 21 LE; 45 NAPR di __________; 3, 18, 28, 43, 46, 60, 61 LPAmm; dichiara e pronuncia: 1.   Il ricorso è respinto. 2.   La tassa di giustizia e le spese, di complessivi fr. 1'000.-, sono a carico dell’insorgente.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