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52.2002.438 vom 20. Dezember 2002</w:t>
      </w:r>
    </w:p>
    <w:p>
      <w:r>
        <w:t>TI Tribunale d'appello, 2002-12-20, IT</w:t>
      </w:r>
    </w:p>
    <w:p>
      <w:r>
        <w:rPr>
          <w:b/>
        </w:rPr>
        <w:t xml:space="preserve">Quelle: </w:t>
      </w:r>
      <w:r>
        <w:t>https://mcp.opencaselaw.ch/entscheid/ti_gerichte_52.2002.438</w:t>
      </w:r>
    </w:p>
    <w:p>
      <w:r>
        <w:t>FR: TI_GERICHTE 52.2002.438 du 20 décembre 2002</w:t>
      </w:r>
    </w:p>
    <w:p>
      <w:r>
        <w:t>IT: TI_GERICHTE 52.2002.438 del 20 dicembre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43</w:t>
      </w:r>
    </w:p>
    <w:p>
      <w:r>
        <w:t>e 46 PAmm; dichiara e pronuncia: 1.   Il ricorso è respinto. 2.   La tassa di giustizia e le spese di fr. 600.- sono poste a carico del ricorrente, il quale inoltre rifonderà al Consorzio per i centri di attrezzature sportive e ricreativo-balneari dei comuni della __________ e __________ l'importo di fr. 800.- a titolo di ripetibili.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