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52.2002.393 vom 18. Juni 2003</w:t>
      </w:r>
    </w:p>
    <w:p>
      <w:r>
        <w:t>TI Tribunale d'appello, 2003-06-18, IT</w:t>
      </w:r>
    </w:p>
    <w:p>
      <w:r>
        <w:rPr>
          <w:b/>
        </w:rPr>
        <w:t xml:space="preserve">Quelle: </w:t>
      </w:r>
      <w:r>
        <w:t>https://mcp.opencaselaw.ch/entscheid/ti_gerichte_52.2002.393</w:t>
      </w:r>
    </w:p>
    <w:p>
      <w:r>
        <w:t>FR: TI_GERICHTE 52.2002.393 du 18 juin 2003</w:t>
      </w:r>
    </w:p>
    <w:p>
      <w:r>
        <w:t>IT: TI_GERICHTE 52.2002.393 del 18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§ Di conseguenza:</w:t>
      </w:r>
    </w:p>
    <w:p>
      <w:r>
        <w:rPr>
          <w:b/>
        </w:rPr>
        <w:t>E. 1.1</w:t>
      </w:r>
    </w:p>
    <w:p>
      <w:r>
        <w:t>le decisioni 10 aprile 2002 del municipio di __________ e 18 settembre 2002 del Consiglio di Stato (n. 4402) sono annullate.</w:t>
      </w:r>
    </w:p>
    <w:p>
      <w:r>
        <w:rPr>
          <w:b/>
        </w:rPr>
        <w:t>E. 1.2</w:t>
      </w:r>
    </w:p>
    <w:p>
      <w:r>
        <w:t>gli atti sono rinviati al municipio affinché rilasci all’insorgente la licenza richiesta.</w:t>
      </w:r>
    </w:p>
    <w:p>
      <w:r>
        <w:rPr>
          <w:b/>
        </w:rPr>
        <w:t>E. 2</w:t>
      </w:r>
    </w:p>
    <w:p>
      <w:r>
        <w:t>Il comune di __________ verserà al ricorrente fr. 1'800.- a titolo di ripetibili di entrambe le istanze.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