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52.2002.363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https://mcp.opencaselaw.ch/entscheid/ti_gerichte_52.2002.363</w:t>
      </w:r>
    </w:p>
    <w:p>
      <w:r>
        <w:t>FR: TI_GERICHTE 52.2002.363 du 6 mai 2003</w:t>
      </w:r>
    </w:p>
    <w:p>
      <w:r>
        <w:t>IT: TI_GERICHTE 52.2002.363 del 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né tassa di giustizia né spese. Lo Stato del Canton Ticino rifonderà al ricorrente fr. 600.— a titolo di ripetibili.</w:t>
      </w:r>
    </w:p>
    <w:p>
      <w:r>
        <w:rPr>
          <w:b/>
        </w:rPr>
        <w:t>E. 3</w:t>
      </w:r>
    </w:p>
    <w:p>
      <w:r>
        <w:t>Contro la presente decisione è dato ricorso di diritto amministrativo al Tribunale federale a Losanna nel termine di 30 giorni dalla notifica.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