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52.2002.350 vom 23. September 2003</w:t>
      </w:r>
    </w:p>
    <w:p>
      <w:r>
        <w:t>TI Tribunale d'appello, 2003-09-23, IT</w:t>
      </w:r>
    </w:p>
    <w:p>
      <w:r>
        <w:rPr>
          <w:b/>
        </w:rPr>
        <w:t xml:space="preserve">Quelle: </w:t>
      </w:r>
      <w:r>
        <w:t>https://mcp.opencaselaw.ch/entscheid/ti_gerichte_52.2002.350</w:t>
      </w:r>
    </w:p>
    <w:p>
      <w:r>
        <w:t>FR: TI_GERICHTE 52.2002.350 du 23 septembre 2003</w:t>
      </w:r>
    </w:p>
    <w:p>
      <w:r>
        <w:t>IT: TI_GERICHTE 52.2002.350 del 23 settembre 2003</w:t>
      </w:r>
    </w:p>
    <w:p>
      <w:pPr>
        <w:pStyle w:val="Heading2"/>
      </w:pPr>
      <w:r>
        <w:t>Regeste</w:t>
      </w:r>
    </w:p>
    <w:p>
      <w:r>
        <w:t>Sentenza o decisione senza scheda</w:t>
      </w:r>
    </w:p>
    <w:p>
      <w:pPr>
        <w:pStyle w:val="Heading2"/>
      </w:pPr>
      <w:r>
        <w:t>Erwägungen</w:t>
      </w:r>
    </w:p>
    <w:p>
      <w:r>
        <w:rPr>
          <w:b/>
        </w:rPr>
        <w:t>E. 2</w:t>
      </w:r>
    </w:p>
    <w:p>
      <w:r>
        <w:t>seconde, 1 terza, una pluriclasse terza /quarta, una quarta e una quinta) e che il corpo docenti era composto da 17 persone, di cui cinque nominate a metà tempo e soltanto quattro nominate a tempo pieno, si deve riconoscere che i problemi evidenziati dal municipio in caso di ulteriore allargamento del numero degli insegnanti nominati a tempo parziale, non possono in alcun modo essere considerati come un argomento pretestuoso, ma tengono semmai conto dell’effettiva nonché preminente esigenza di poter continuare ad offrire agli alunni le migliori condizioni di apprendimento possibili. Il provvedimento litigioso appare d’altronde come un mezzo idoneo al raggiungimento degli scopi perseguiti dal municipio di __________ e non si vede quale altra soluzione, meno incisiva rispetto a quella qui in esame, poteva essere adottata da quest’ultimo per adeguatamente tutelare i suddetti interessi. 3.3.4. Da ultimo si deve ancora considerare che le ragioni invocate dalla ricorrente a sostegno della sua richiesta di modifica del rapporto di nomina sono riconducibili solo marginalmente alla sua condizione di donna. Il fatto di doversi occupare di un genitore anziano non può in effetti essere considerato come un compito riservato per convenzione sociale o per obbligo legale prevalentemente alle persone di sesso femminile. Inoltre, non avendo figli, l’insorgente non può neppure far valere l’esistenza di particolari esigenze connesse con il ruolo di madre. Ella, che vive con il marito, può al massimo sostenere di doversi occupare in maniera preponderante rispetto all’altro coniuge della conduzione della casa. In ogni caso, come rettamente sottolineato dal municipio di __________, la gestione di un economia domestica composta da due persone non comporta oneri significativamente più rilevanti rispetto ad un economia domestica composta da una persona sola, ragione per la quale la suddetta circostanza non basta ancora a fare apparire discriminatorio il querelato diniego. 4.   Avuto riguardo di tutto quanto precede, la decisione con la quale è stata negata alla ricorrente la possibilità di ridurre il suo tempo di lavoro appare libera da considerazioni improprie e da pregiudizi fondati sul sesso del dipendente, ragione per la quale la stessa non appare lesiva del principio di uguaglianza tra i sessi sancito dall’art. 8 cpv. 3 Cost e dalla LPar. Il gravame dev’essere quindi integralmente respinto Occorre comunque precisare che tale conclusione si impone nel caso in esame e che dalla medesima non può essere dedotto un diritto per l’esecutivo comunale di praticare una politica del personale intesa a negare sistematicamente ai docenti comunali nominati la possibilità di esercitare la loro attività a tempo ridotto, in quanto, in altre circostanze, una decisione come quella che è stata opposta alla ricorrente potrebbe rivelarsi discriminatoria. 5.   La procedura è gratuita (art. 13 cpv. 5 LPar). Quantunque nel caso concreto, le deduzioni dell’insorgente fondate sulla LPar risultino infondate, il richiamo a questa normativa non appare ancora abusivo. La ricorrente può quindi essere mandata esente da tasse e spese. Vista la soccombenza, ella dovrà però rifondere al municipio di __________, patrocinato da un legale, un congruo importo a titolo di ripetibili. Per questi motivi, visti gli art. 8 Cost., 98a OG, 3, 6 13 LPar, 3, 18, 43, 46, 60 Pamm, 208 LOC, 2, 10 LORD, 7, 8, 10, 11 LSIE, 10, 40, 43 RLSIE; dichiara e pronuncia: 1.   Il ricorso è respinto. 2.   Non si prelevano tasse né spese. 3.   La ricorrente rifonderà fr. 800.- al municipio di __________ a titolo di ripetibili. 4.   Contro la presente decisione, nella misura in cui è fondata sul diritto federale, è dato ricorso di diritto amministrativo al Tribunale federale a Losanna nel termine di 30 giorni dall’intimazione. 5.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