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52.2002.240 vom 21. August 2002</w:t>
      </w:r>
    </w:p>
    <w:p>
      <w:r>
        <w:t>TI Tribunale d'appello, 2002-08-21, IT</w:t>
      </w:r>
    </w:p>
    <w:p>
      <w:r>
        <w:rPr>
          <w:b/>
        </w:rPr>
        <w:t xml:space="preserve">Quelle: </w:t>
      </w:r>
      <w:r>
        <w:t>https://mcp.opencaselaw.ch/entscheid/ti_gerichte_52.2002.240</w:t>
      </w:r>
    </w:p>
    <w:p>
      <w:r>
        <w:t>FR: TI_GERICHTE 52.2002.240 du 21 août 2002</w:t>
      </w:r>
    </w:p>
    <w:p>
      <w:r>
        <w:t>IT: TI_GERICHTE 52.2002.240 del 21 agosto 2002</w:t>
      </w:r>
    </w:p>
    <w:p>
      <w:pPr>
        <w:pStyle w:val="Heading2"/>
      </w:pPr>
      <w:r>
        <w:t>Regeste</w:t>
      </w:r>
    </w:p>
    <w:p>
      <w:r>
        <w:t>Sentenza o decisione senza scheda</w:t>
      </w:r>
    </w:p>
    <w:p>
      <w:pPr>
        <w:pStyle w:val="Heading2"/>
      </w:pPr>
      <w:r>
        <w:t>Erwägungen</w:t>
      </w:r>
    </w:p>
    <w:p>
      <w:r>
        <w:rPr>
          <w:b/>
        </w:rPr>
        <w:t>E. 32</w:t>
      </w:r>
    </w:p>
    <w:p>
      <w:r>
        <w:t>cpv. 1 NAPR. Le sue facciate non sono tuttavia sottoposte alla protezione speciale prevista dal capoverso 2 di tale norma. Rilasciando la licenza edilizia, il municipio ha in sostanza ritenuto che la formazione della veranda (loggiato) rispettasse le caratteristiche dell’architettura tradizionale. Anche questa deduzione sfugge alle censure dei ricorrenti. Nella valutazione estetica espressa dal municipio non sono in effetti ravvisabili gli estremi di una violazione del diritto, sotto il profilo di un’interpretazione insostenibile dei concetti giuridici indeterminati che la norma sottende. Né si può ragionevolmente sostenere che l’autorità comunale abbia abusato del margine d’apprezzamento che la norma le riserva. Ritenendo che la veranda si inserisca convenientemente nel quadro architettonico dell’edificio, rispettandone le caratteristiche intrinseche, il municipio non ha pertanto travalicato i limiti del suo potere discrezionale. Accreditare la tesi dei ricorrenti si tradurrebbe dunque in una palese disattenzione del potere di cognizione di questo Tribunale ed in un'altrettanto manifesta violazione dell’autonomia comunale. Anche da questo profilo, la decisione impugnata merita quindi di essere confermata. 4.   In esito alle considerazioni che precedono, il ricorso va quindi respinto. La tassa di giustizia e le ripetibili sono poste a carico dei soccombenti (art. 28 PAmm). Per questi motivi, visti gli art. 21 LE; 3 RBN; 32 NAPR di __________; 3, 18, 28, 31, 60 e 61 PAmm; dichiara e pronuncia: 1.   Il ricorso è respinto. 2.   La tassa di giustizia di fr. 800.-- è posta a carico dei ricorrenti in solido, che, con analogo vincolo, rifonderanno fr. 1'000.-- alla resistente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