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52.2002.200 vom 29. Juli 2002</w:t>
      </w:r>
    </w:p>
    <w:p>
      <w:r>
        <w:t>TI Tribunale d'appello, 2002-07-29, IT</w:t>
      </w:r>
    </w:p>
    <w:p>
      <w:r>
        <w:rPr>
          <w:b/>
        </w:rPr>
        <w:t xml:space="preserve">Quelle: </w:t>
      </w:r>
      <w:r>
        <w:t>https://mcp.opencaselaw.ch/entscheid/ti_gerichte_52.2002.200</w:t>
      </w:r>
    </w:p>
    <w:p>
      <w:r>
        <w:t>FR: TI_GERICHTE 52.2002.200 du 29 juillet 2002</w:t>
      </w:r>
    </w:p>
    <w:p>
      <w:r>
        <w:t>IT: TI_GERICHTE 52.2002.200 del 29 luglio 2002</w:t>
      </w:r>
    </w:p>
    <w:p>
      <w:pPr>
        <w:pStyle w:val="Heading2"/>
      </w:pPr>
      <w:r>
        <w:t>Regeste</w:t>
      </w:r>
    </w:p>
    <w:p>
      <w:r>
        <w:t>Sentenza o decisione senza scheda</w:t>
      </w:r>
    </w:p>
    <w:p>
      <w:pPr>
        <w:pStyle w:val="Heading2"/>
      </w:pPr>
      <w:r>
        <w:t>Erwägungen</w:t>
      </w:r>
    </w:p>
    <w:p>
      <w:r>
        <w:rPr>
          <w:b/>
        </w:rPr>
        <w:t>E. 4</w:t>
      </w:r>
    </w:p>
    <w:p>
      <w:r>
        <w:t>.   Considerato che il ricorso deve essere accolto già per i motivi indicati al precedente considerando, non occorre esaminare in dettaglio la valutazione delle offerte operata sulla base degli altri criteri d’aggiudicazione. Al riguardo si può comunque rilevare che i sotto-criteri applicati in sede di valutazione del criterio termini non corrispondono a quelli indicati dal capitolato d’offerta. In effetti, mentre il capitolato prevedeva di valutare questo criterio dal profilo delle maestranze (60 %), rispettivamente dei quadri globali (40 %), l’autorità cantonale ha ponderato le offerte in base alle indicazioni fornite dalle concorrenti alle posizioni maestranze globali e quadri (60 %), rispettivamente maestranze relative all’appalto (40 %). Analogamente, la qualità , che secondo il bando avrebbe dovuto essere valutata dal profilo dell’ esperienza e formazione quadri , è stata invece ponderata in base alla somma dei punteggi conseguiti dalle concorrenti alle voci maestranze globali e maestranze relative all’appalto , interpolate in base a fattori che il rapporto di delibera non permette di individuare. 5.   Sulla scorta delle considerazioni che precedono il ricorso va accolto e la delibera annullata. Considerata l’insufficienza delle prescrizioni di gara, si prescinde da un'aggiudicazione diretta. Gli atti vanno di conseguenza rinviati all'autorità cantonale per nuova decisione. Dato l'esito, non si preleva tassa di giustizia. Le ripetibili sono invece poste a carico dello Stato secondo soccombenza. Per questi motivi, visti gli art. 32, 36, 37 LCPubb; 3, 18, 28, 31, 60, 61 PAmm; dichiara e pronuncia: 1.   Il ricorso è accolto. §.  Di conseguenza: 1.1.   la decisione 29 aprile 2002 della Divisione delle risorse del Dipartimento delle finanze e dell'economia, che delibera alla ditta __________ le opere da sanitario occorrenti alla scuola media di __________, è annullata; 1.2.   gli atti sono rinviati all'autorità cantonale per nuova decisione. 2.   Non si preleva tassa di giustizia. Lo Stato rifonderà fr. 1'000.-- alla ricorrente a titolo di ripetibili.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