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52.2002.185 vom 11. Juni 2002</w:t>
      </w:r>
    </w:p>
    <w:p>
      <w:r>
        <w:t>TI Tribunale d'appello, 2002-06-11, IT</w:t>
      </w:r>
    </w:p>
    <w:p>
      <w:r>
        <w:rPr>
          <w:b/>
        </w:rPr>
        <w:t xml:space="preserve">Quelle: </w:t>
      </w:r>
      <w:r>
        <w:t>https://mcp.opencaselaw.ch/entscheid/ti_gerichte_52.2002.185</w:t>
      </w:r>
    </w:p>
    <w:p>
      <w:r>
        <w:t>FR: TI_GERICHTE 52.2002.185 du 11 juin 2002</w:t>
      </w:r>
    </w:p>
    <w:p>
      <w:r>
        <w:t>IT: TI_GERICHTE 52.2002.185 del 11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11.06.2002 52.2002.185 Tessin Tribunale cantonale amministrativo 11.06.2002 52.2002.185 Ticino Tribunale cantonale amministrativo 11.06.2002 52.2002.185</w:t>
      </w:r>
    </w:p>
    <w:p>
      <w:r>
        <w:t>Sentenza o decisione senza scheda</w:t>
      </w:r>
    </w:p>
    <w:p>
      <w:r>
        <w:t>Incarto n. 52.2002.00185 Lugano 11 giugno 2002 In nome della Repubblica e Cantone del Ticino Il Tribunale cantonale amministrativo composto dei giudici: Lorenzo Anastasi, presidente, Stefano Bernasconi, Werner Walser segretario: Leopoldo Crivelli statuendo sul ricorso  3 maggio 2002 della __________ patr. da: avv. __________ contro la decisione 17 aprile 2002 (RM 93/2002) del Comune di __________ con la quale delibera alla ditta __________ le opere da pittore relative alla ristrutturazione dello stabile al mapp. n. __________ RFD; vista la risposta 15 maggio 2002 del municipio; letti ed esaminati gli atti; ritenuto, in fatto che in esito a pubblico concorso (FU n. __________) il 17 aprile 2002 il municipio di __________ ha deliberato alla __________ le opere da pittore relative alla ristrutturazione dello stabile sito al mappale n. __________ RFD di __________; che contro questa decisione è insorta davanti al Tribunale cantonale amministrativo la __________, obiettando che il municipio di __________ era incorso in sede di valutazione dei criteri di aggiudicazione in un abuso di apprezzamento a scapito della propria offerta ed a favore di quella presentata da una ditta locale; che invitato a prendere posizione sul ricorso il municipio ha comunicato che con risoluzione 13 maggio 2002, n. 119/2002, ha annullato la delibera; che il Tribunale cantonale amministrativo ha intimato alle parti di prendere posizione sull'annullamento della delibera; che la ricorrente, presone atto, ha chiesto lo stralcio del ricorso con protesta di spese e ripetibili, mentre che la __________ ha comunicato che non aveva osservazioni da formulare; considerato, in diritto che la competenza del Tribunale cantonale amministrativo è data dall'art. 36 cpv. 1 LCPubb; che la legittimazione attiva della ricorrente è certa; che il ricorso, tempestivo, è ricevibile in ordine; che giusta l'art. 50 cpv. 1 PAmm l'istanza inferiore può, fino all'insinuazione della risposta, modificare la propria decisione nel senso delle domande del ricorrente; che in caso di adesione all'impugnativa, l'istanza di ricorso dichiara il gravame privo d'oggetto e statuisce su spese e ripetibili (Borghi Corti, Compendio di procedura amministrativa ticinese, ad art. 50 PAmm, n. 4); che, seppur per motivi diversi, decidendo di annullare la delibera, il municipio ha in sostanza aderito alla domanda principale formulata dalla ricorrente; che il ricorso va quindi dichiarato privo d'oggetto; che, date le circostanze, si prescinde dal prelievo di una tassa di giustizia; che l'adesione al ricorso non permette invece di prescindere dalla condanna del comune al pagamento di un'indennità per ripetibili. Per questi motivi, visti gli art. 36, 37 LCPubb; 3, 18, 31, 50, 60, 61 PAmm; dichiara e pronuncia: 1.   Il ricorso è privo d'oggetto. 2.   Il comune di __________ rifonderà alla ricorrente fr. 800.-- a titolo di ripetibili. 3.   Intimazione a: ___________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