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52.2002.161 vom 19. November 2002</w:t>
      </w:r>
    </w:p>
    <w:p>
      <w:r>
        <w:t>TI Tribunale d'appello, 2002-11-19, IT</w:t>
      </w:r>
    </w:p>
    <w:p>
      <w:r>
        <w:rPr>
          <w:b/>
        </w:rPr>
        <w:t xml:space="preserve">Quelle: </w:t>
      </w:r>
      <w:r>
        <w:t>https://mcp.opencaselaw.ch/entscheid/ti_gerichte_52.2002.161</w:t>
      </w:r>
    </w:p>
    <w:p>
      <w:r>
        <w:t>FR: TI_GERICHTE 52.2002.161 du 19 novembre 2002</w:t>
      </w:r>
    </w:p>
    <w:p>
      <w:r>
        <w:t>IT: TI_GERICHTE 52.2002.161 del 19 novembre 2002</w:t>
      </w:r>
    </w:p>
    <w:p>
      <w:pPr>
        <w:pStyle w:val="Heading2"/>
      </w:pPr>
      <w:r>
        <w:t>Regeste</w:t>
      </w:r>
    </w:p>
    <w:p>
      <w:r>
        <w:t>Sentenza o decisione senza scheda</w:t>
      </w:r>
    </w:p>
    <w:p>
      <w:pPr>
        <w:pStyle w:val="Heading2"/>
      </w:pPr>
      <w:r>
        <w:t>Erwägungen</w:t>
      </w:r>
    </w:p>
    <w:p>
      <w:r>
        <w:rPr>
          <w:b/>
        </w:rPr>
        <w:t>E. 4</w:t>
      </w:r>
    </w:p>
    <w:p>
      <w:r>
        <w:t>c) cc, pag. 116; STA 30.7.2001 in re G. M. SA; M. Wagner, Baurecht n. 4/99, pag. 139; H. Lang, Offertenbehandlung und Zuschlag im öffentlichen Beschaffungswesen, ZBl 2000, pag. 237 consid. 3 b/cc in fine; P. Gauch / H. Stöckli, Thèses sur le nouveau droit fédéral des machés publics, pag. 29 in fine). Ne discende che nella misura in cui è fondato sulla mancata sottoscrizione del CCL da parte della __________, l'annullamento della delibera non si giustifica. Considerato l'impegno della __________, a rispettare le disposizioni del contratto di categoria, da questo profilo, l'aggiudicazione non presta il fianco a critiche. 2.2. L'art. 20 lett. c LApp, applicabile alla fattispecie in forza delle disposizioni legge di cui si è detto sopra, escludeva dall'aggiudicazione le offerte incomplete. Tali erano le offerte che non erano compilate in ogni punto, con l'esposizione dei prezzi unitari, dei totali e di ogni altra indicazione complementare richiesta dal bando di concorso, dal capitolato e da eventuali altri atti di gara. Il completamento delle offerte dopo la scadenza del termine fissato dal bando di concorso era tassativamente escluso. Ammettendolo, infatti, si sarebbe violato il divieto di modificare le offerte presentate, che discende dal principio della parità di trattamento. La prassi sviluppatasi attorno alla LApp ravvisava tuttavia un completamento delle offerte soltanto nella modifica del contenuto dell'offerta in quanto tale. Non vietava la successiva produzione di documenti attestanti fatti oggettivi, riferiti al concorrente e non all'offerta, quali le dichiarazioni comprovanti il pagamento degli oneri sociali. In concreto, il Consiglio di Stato ha ritenuto che l'offerta della ricorrente fosse incompleta perché non era corredata dall'estratto del RC e dall'attestato dell'UEF comprovante l'inesistenza di procedure esecutive: atti, che la __________ ha prodotto soltanto dopo la scadenza del termine fissato dal bando di concorso per l'inoltro delle offerte. Nemmeno questo motivo d'esclusione può essere ritenuto, poiché i documenti mancanti non concernono l'offerta in quanto tale, ma l'idoneità del concorrente. Si tratta invero di documenti attestanti fatti oggettivi, sui quali l'offerente non ha alcun potere di disposizione. Contraria al principio di proporzionalità appare quindi la deduzione con cui il Consiglio di Stato ne ha negato la produzione dopo la scadenza del termine per l'insinuazione delle offerte. A maggior ragione si giustifica questa conclusione se si considera che il capitolato in esame non commina l'estromissione delle offerte nel caso in cui non fossero state corredate da tali atti e che la __________ è stata iscritta a RC soltanto il giorno successivo alla scadenza del concorso. Il giudizio impugnato non può quindi essere tutelato nemmeno nella misura in cui estromette l'offerta della ricorrente per mancata produzione delle attestazioni succitate. 3.   3.1. Resta comunque da verificare se l'aggiudicazione a favore della __________ regga alle ulteriori critiche sollevate, che il Consiglio di Stato ha omesso di esaminare. L’art. 113 vLOC perseguiva un duplice scopo. Da un lato, mirava a permettere all’ente pubblico di scegliere fra più offerte quella più vantaggiosa; dall’altro tendeva invece ad assicurare a tutti i concorrenti le stesse possibilità di conseguire l’aggiudicazione. La LOC era silente circa i criteri d’aggiudicazione. Essa sottintendeva nondimeno, quale criterio generale, quello della tutela dell’interesse della comunità. L’ente pubblico era libero di prestabilire i criteri d’aggiudicazione nel bando di concorso o di rinunciare a qualsiasi predeterminazione in tal senso. Nel caso in cui si riservava il diritto di deliberare la commessa al miglior offerente, secondo la clausola se così parrà e piacerà , il committente fruiva di una libertà di decisione limitata unicamente dall’obbligo di tutelare adeguatamente gli interessi della comunità. L’autorità di ricorso poteva censurarne l’esercizio unicamente sotto il profilo della violazione del diritto per eccesso od abuso di potere. Censurabili erano quindi soltanto decisioni insostenibili, siccome fondate su considerazioni estranee alla materia o altrimenti lesive dei principi generali del diritto, segnatamente in quanto riferiti alla parità di trattamento od all’adeguatezza. Decisioni semplicemente opinabili sfuggivano di contro alla critica (DTF 119 Ib 452; RDAT I 1995 n. 14; Borghi Corti, Compendio di procedura amministrativa ticinese, ad art. 61 PAmm n. 2). 3.2. Nell’evenienza concreta, il capitolato d'appalto stabiliva che la delegazione del __________ avrebbe deliberato il servizio messo a concorso "all'offerta che liberamente" avesse ritenuto "più vantaggiosa e conveniente nel suo complesso" . Non fissava alcun criterio d'aggiudicazione. In particolare, non chiedeva ai concorrenti di disporre di esperienze specifiche nel settore della raccolta dei rifiuti. I concorrenti dovevano soltanto indicare i mezzi (veicoli) che avrebbero messo a disposizione per lo svolgimento del servizio. Non erano chieste referenze. In sostanza, la decisione di delibera è quindi censurabile soltanto dal profilo di un esercizio abusivo del potere d'apprezzamento che il committente si è riservato. La ricorrente si è offerta di effettuare il servizio in oggetto ad un prezzo di fr. 190'060.- all'anno con due veicoli, avvalendosi della collaborazione di alcune ditte affermate, attive nel settore dei trasporti e della raccolta dei rifiuti urbani. La __________ ha invece offerto un prezzo di fr. 198'703.- (+ 4.5%), allegando a sua volta l'elenco dei mezzi di cui dispone. La delegazione consortile ha aggiudicato la commessa alla __________, attribuendo un peso preponderante all'aspetto economico e ritenendo che la ditta offrisse adeguate garanzie per un servizio efficiente. Indirettamente, il committente ha quindi escluso che la maggiore esperienza ed i maggiori mezzi della resistente giustificassero una scelta più onerosa. Per quanto opinabile possa apparire, la delibera in contestazione sfugge alle critiche della __________. Contrariamente a quanto questa assume, la delegazione consortile non ignorava che la __________ era stata appena costituita e non disponeva di esperienza specifica nel settore della raccolta dei rifiuti. Essa ha nondimeno ritenuto che il servizio da svolgere fosse tutto sommato un compito semplice, che non richiedeva particolare esperienza da parte dell'assuntore (cfr. risposta 17.8.2001 del __________ al Consiglio di Stato). Considerato che si tratta di organizzare e gestire un giro di raccolta dei rifiuti urbani, lungo una quarantina di km, con un paio di autocarri, guidati da un autista ed accompagnati da operai privi di qualsiasi qualificazione, la valutazione operata dalla delegazione consortile non appare insostenibile. Non si può in particolare affermare che la mancanza di esperienza della ricorrente imponesse di scegliere un'offerta del 5% più onerosa al fine di tutelare adeguatamente l'interesse pubblico. Tanto meno si giustifica questa conclusione quando si consideri che la __________ poteva avvalersi della collaborazione della __________, ditta gemella, attiva da qualche anno nel campo dei trasporti, che fa parte del medesimo gruppo imprenditoriale. Invano contesta la __________ la delibera in esame, ipotizzando che la ricorrente potrebbe aver preso conoscenza dei dati confidenziali che la stessa resistente aveva fornito al __________ nell'ambito del precedente concorso. Il fatto, contestato dalla ricorrente e dal consorzio, non è stato sufficientemente provato. Il teste __________ non ha infatti avuto in mano i documenti contenenti i dati confidenziali. Li ha soltanto visti nelle mani del teste __________, che tuttavia nega che concernessero l'analisi dei prezzi prodotta dalla ditta __________. Diniego, questo, che appare plausibile, ove si consideri che nulla spiega come mai questo teste avrebbe dovuto essere in possesso di questi dati. Né può essere accreditata la tesi della __________, secondo cui il sistema innovativo di carico dei rifiuti proposto dalla ricorrente costituirebbe un'inammissibile deroga alle prescrizioni del capitolato. Gli atti di gara non fissavano in modo vincolante le caratteristiche tecniche dei mezzi impiegati per la raccolta dei rifiuti. 4.   In esito alle considerazioni che precedono, il ricorso va quindi accolto, annullando la decisione governativa impugnata e ripristinando la delibera in contestazione, così come decisa (senza modifiche dei termini) siccome immune da violazioni del diritto. La tassa di giustizia e le ripetibili sono poste a carico della resistente secondo soccombenza. Per questi motivi, visti gli art. 113 vLOC, 208 LOC; 38 LCCom; 47 LCPubb; 14, 20 LApp; 3, 18, 28, 31, 60, 61, 65 PAmm; dichiara e pronuncia: 1.   Il ricorso è accolto. §.  Di conseguenza: 1.1.   la decisione 12 marzo 2002 del Consiglio di Stato (n. 1171) è annullata; 1.2.   la decisione 17 luglio 2001 della delegazione del Consorzio raccolta rifiuti ______ e dintorni, che delibera all'insorgente il servizio di raccolta e trasporto rifiuti per il periodo 2001 - 2004 è confermata. 2.   La tassa di giustizia di fr. 1'000.- è a carico della resistente, che rifonderà fr. 1'500.- alla ricorrente a titolo di ripetibili. 3.   Intimazione a: ____________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