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52.2002.103 vom 30. Juli 2002</w:t>
      </w:r>
    </w:p>
    <w:p>
      <w:r>
        <w:t>TI Tribunale d'appello, 2002-07-30, IT</w:t>
      </w:r>
    </w:p>
    <w:p>
      <w:r>
        <w:rPr>
          <w:b/>
        </w:rPr>
        <w:t xml:space="preserve">Quelle: </w:t>
      </w:r>
      <w:r>
        <w:t>https://mcp.opencaselaw.ch/entscheid/ti_gerichte_52.2002.103</w:t>
      </w:r>
    </w:p>
    <w:p>
      <w:r>
        <w:t>FR: TI_GERICHTE 52.2002.103 du 30 juillet 2002</w:t>
      </w:r>
    </w:p>
    <w:p>
      <w:r>
        <w:t>IT: TI_GERICHTE 52.2002.103 del 30 luglio 2002</w:t>
      </w:r>
    </w:p>
    <w:p>
      <w:pPr>
        <w:pStyle w:val="Heading2"/>
      </w:pPr>
      <w:r>
        <w:t>Volltext</w:t>
      </w:r>
    </w:p>
    <w:p>
      <w:r>
        <w:t>Incarto n.52.2002.00103</w:t>
      </w:r>
    </w:p>
    <w:p>
      <w:r>
        <w:t>Lugano</w:t>
      </w:r>
    </w:p>
    <w:p>
      <w:r>
        <w:t>30 luglio 2002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presidente,Stefano Bernasconi, Werner Walser</w:t>
      </w:r>
    </w:p>
    <w:p>
      <w:r>
        <w:t>segretario:</w:t>
      </w:r>
    </w:p>
    <w:p>
      <w:r>
        <w:t>Leopoldo Crivelli</w:t>
      </w:r>
    </w:p>
    <w:p>
      <w:r>
        <w:t>statuendo sul ricorso 12 marzo 2002 della</w:t>
      </w:r>
    </w:p>
    <w:p>
      <w:r>
        <w:t>__________</w:t>
      </w:r>
    </w:p>
    <w:p>
      <w:r>
        <w:t>contro</w:t>
      </w:r>
    </w:p>
    <w:p>
      <w:r>
        <w:t>la decisione 25 febbraio 2002, no. 8, del Dipartimento delle istituzioni, Divisione degli Interni, in materia di tassa per la fornitura di energia elettrica;</w:t>
      </w:r>
    </w:p>
    <w:p>
      <w:r>
        <w:t>preso atto che il 12 luglio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