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52.2001.90 vom 25. Juni 2001</w:t>
      </w:r>
    </w:p>
    <w:p>
      <w:r>
        <w:t>TI Tribunale d'appello, 2001-06-25, IT</w:t>
      </w:r>
    </w:p>
    <w:p>
      <w:r>
        <w:rPr>
          <w:b/>
        </w:rPr>
        <w:t xml:space="preserve">Quelle: </w:t>
      </w:r>
      <w:r>
        <w:t>https://mcp.opencaselaw.ch/entscheid/ti_gerichte_52.2001.90</w:t>
      </w:r>
    </w:p>
    <w:p>
      <w:r>
        <w:t>FR: TI_GERICHTE 52.2001.90 du 25 juin 2001</w:t>
      </w:r>
    </w:p>
    <w:p>
      <w:r>
        <w:t>IT: TI_GERICHTE 52.2001.90 del 25 giugno 2001</w:t>
      </w:r>
    </w:p>
    <w:p>
      <w:pPr>
        <w:pStyle w:val="Heading2"/>
      </w:pPr>
      <w:r>
        <w:t>Regeste</w:t>
      </w:r>
    </w:p>
    <w:p>
      <w:r>
        <w:t>Sentenza o decisione senza scheda</w:t>
      </w:r>
    </w:p>
    <w:p>
      <w:pPr>
        <w:pStyle w:val="Heading2"/>
      </w:pPr>
      <w:r>
        <w:t>Erwägungen</w:t>
      </w:r>
    </w:p>
    <w:p>
      <w:r>
        <w:rPr>
          <w:b/>
        </w:rPr>
        <w:t>E. 38</w:t>
      </w:r>
    </w:p>
    <w:p>
      <w:r>
        <w:t>cpv. 3 del regolamento vigente): una tassazione correttamente calcolata sulla scorta del diritto previgente potrebbe pertanto condurre solamente ad una maggior imposizione dell'insorgente che non applicando il nuovo diritto. La tassa d'uso delle canalizzazioni per l'anno 2000 relativa al mapp. __________ deve pertanto essere calcolata in applicazione diretta dell'art. 38 cpv. 3 del nuovo regolamento sulle canalizzazioni: in assenza di un'ordinanza municipale che determini il tasso esatto di imposizione muovendosi entro i limiti fissati dalla detta disposizione, fa difatti stato quello minimo previsto dalla stessa, dello 0,2%o del valore della stima ufficiale dell'elemento allacciato. Ora, in applicazione dell'art. 47 della legge sulla stima ufficiale della sostanza immobiliare del 13 novembre 1996, il valore della stima ufficiale dell'edificio al sub A del mapp. __________ dev'essere considerato, ai fini dell'imposizione, nella misura del 70%, ossia per fr. 161'000.--, anziché per fr. 230'000.--. Ne discende che la controversa tassa corrisponde a fr. 32,20 (= 0,2%o di fr. 161'000.--). 3.   Riallacciandosi alle contestazioni sollevate a partire dal 1998 in merito alla doppia imposizione delle tasse in rassegna e di quelle d'uso dell'acqua potabile, culminate nell'accoglimento della sua tesi attraverso il giudizio impugnato, l'insorgente chiede inoltre che comune di __________ le versi fr. 10'000.-- di ripetibili e che il municipio di quel comune venga ritenuto responsabile dell'omessa impugnazione delle precedenti tassazioni. Tali censure non appaiono tuttavia ricevibili nella presente sede, ove l'oggetto della contestazione è circoscritto alla sola tassa d'uso delle canalizzazioni riferita all'esercizio 2000. L'unica pretesa ammissibile è costituita dalla richiesta di ripetibili per la contestazione in esame e in questa sede, che può essere fondata sull'art. 31 PAmm. Tale domanda va tuttavia respinta, poiché la giurisprudenza di questa Camera non riconosce, di principio, ripetibili a chi procede senza l'assistenza di un patrocinatore. 4.   Sulla scorta di quanto precede il ricorso deve essere parzialmente accolto. La tassa di giudizio deve essere posta a carico dell'insorgente la quale, se si eccettua la riduzione della tassa d'uso delle canalizzazioni di fr. 13,80, risulta totalmente soccombente (art. 28 PAmm). Per questi motivi, visti gli art. 208, 209 LOC, 3, 18, 28, 31, 43, 46, 60, 61 PAmm; dichiara e pronuncia: 1.   Il ricorso è parzialmente accolto. §.   Di conseguenza, il dispositivo n. 1 della decisione 13 marzo 2001 (n. 1191) del Consiglio di Stato è modificato nel senso che la tassa d'uso delle canalizzazioni è ridotta a fr. 32,20. 2.   La tassa di giudizio, di fr. 100.--, è posta a carico della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