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52.2001.55 vom 22. Dezember 1998</w:t>
      </w:r>
    </w:p>
    <w:p>
      <w:r>
        <w:t>TI Tribunale d'appello, 1998-12-22, IT</w:t>
      </w:r>
    </w:p>
    <w:p>
      <w:r>
        <w:rPr>
          <w:b/>
        </w:rPr>
        <w:t xml:space="preserve">Quelle: </w:t>
      </w:r>
      <w:r>
        <w:t>https://mcp.opencaselaw.ch/entscheid/ti_gerichte_52.2001.55</w:t>
      </w:r>
    </w:p>
    <w:p>
      <w:r>
        <w:t>FR: TI_GERICHTE 52.2001.55 du 22 décembre 1998</w:t>
      </w:r>
    </w:p>
    <w:p>
      <w:r>
        <w:t>IT: TI_GERICHTE 52.2001.55 del 22 dicembre 1998</w:t>
      </w:r>
    </w:p>
    <w:p>
      <w:pPr>
        <w:pStyle w:val="Heading2"/>
      </w:pPr>
      <w:r>
        <w:t>Regeste</w:t>
      </w:r>
    </w:p>
    <w:p>
      <w:r>
        <w:t>Sentenza o decisione senza scheda</w:t>
      </w:r>
    </w:p>
    <w:p>
      <w:pPr>
        <w:pStyle w:val="Heading2"/>
      </w:pPr>
      <w:r>
        <w:t>Erwägungen</w:t>
      </w:r>
    </w:p>
    <w:p>
      <w:r>
        <w:rPr>
          <w:b/>
        </w:rPr>
        <w:t>E. 3</w:t>
      </w:r>
    </w:p>
    <w:p>
      <w:r>
        <w:t>lett. a RLE). Permessi di costruzione accordati dal municipio senza il consenso dell'autorità cantonale sono in ogni caso nulli (DTF 111 Ib 219 seg. consid. 5). 3.   Sulla scorta delle considerazioni che precedono, non potendo il motivo di revisione invocato dalla __________ portare ad un giudizio ad essa più favorevole, l'istanza va quindi respinta. La tassa di giustizia e le ripetibili sono poste a carico dell'istante secondo soccombenza. Per questi motivi, visti gli art. 24, 25 LPT; 3, 18, 28, 35, 36 PAmm; dichiara e pronuncia: 1.   L'istanza è respinta. 2.   La tassa di giustizia di fr. 1'000.-- è a carico dell'istante, che rifonderà fr. 1'000.-- al comune di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