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52.2001.393 vom 20. Dezember 2002</w:t>
      </w:r>
    </w:p>
    <w:p>
      <w:r>
        <w:t>TI Tribunale d'appello, 2002-12-20, IT</w:t>
      </w:r>
    </w:p>
    <w:p>
      <w:r>
        <w:rPr>
          <w:b/>
        </w:rPr>
        <w:t xml:space="preserve">Quelle: </w:t>
      </w:r>
      <w:r>
        <w:t>https://mcp.opencaselaw.ch/entscheid/ti_gerichte_52.2001.393</w:t>
      </w:r>
    </w:p>
    <w:p>
      <w:r>
        <w:t>FR: TI_GERICHTE 52.2001.393 du 20 décembre 2002</w:t>
      </w:r>
    </w:p>
    <w:p>
      <w:r>
        <w:t>IT: TI_GERICHTE 52.2001.393 del 20 dicembre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16</w:t>
      </w:r>
    </w:p>
    <w:p>
      <w:r>
        <w:t>__________ mapp. __________ (__________) destinazione: istruzione e cultura, strutture di servizio, posteggi 41. __________ mapp. n. __________ destinazione: sanità, assistenza ..... omissis .... che la menzione (__________) posta accanto al numero (1158) del mappale su cui sorgono gli stabili dell'__________ sta ad indicare il diritto di superficie concesso dall'EOC all'__________; che tale diritto si estende ai terreni posti a N del viale perpendicolare a via __________, che separa l'ospedale dall'università; che la destinazione istruzione e cultura, strutture di servizio, posteggi , prevista dalla cifra 16 dell'art. 53 NAPR per il mapp. __________ (__________), si estende di conseguenza unicamente all'area gravata dal diritto superficie di cui l'__________I è titolare; che lo stabile dell'ex Maternità cantonale non è compreso nell'area in oggetto; che la destinazione di questo edificio può pertanto essere soltanto quella ( sanità, assistenza ), prevista dalla cifra 41 dell'art. 53 NAPR per l'altra parte del mappale __________, sulla quale sorge anche l'__________; che, stando così le cose, le licenze in contestazione, accordate dal municipio all'__________ per insediare attività didattiche in un immobile destinato ad attività sanitarie ed assistenziali disattendevano manifestamente il principio della conformità di zona sancito dall'art. 22 cpv. 2 lett. a LPT; che i ricorsi inoltrati dall'avv. __________ contro tali provvedimenti erano quindi fondati; che, nella misura in cui non sono diventate prive d'oggetto, le impugnative qui in esame vanno di conseguenza accolte, annullando le licenze avversate e le decisioni del Consiglio di Stato che le confermano; che la tassa di giustizia e le ripetibili sono poste a carico dell'__________ secondo soccombenza. Per questi motivi, visti gli art. 22 LPT; 21 LE; 53 NAPR di __________; 3, 18, 28, 31, 51, 60, 61, 65 PAmm; dichiara e pronuncia: 1.   Nella misura in cui non sono privi d'oggetto, i ricorsi sono accolti. §.  Di conseguenza, sono annullate: 1.1.   le decisioni 16 ottobre 2001 (n. 4891) e 30 gennaio 2002 (n. 478) del Consiglio di Stato; 1.2.   le licenze edilizie 23 ottobre 2000 e 29 ottobre 2001 rilasciate dal municipio di __________ all'__________ ed __________ 2.   La tassa di giustizia di fr. 800.- è a carico dell'__________, che rifonderà fr. 1'800.- al resistente a titolo di ripetibili di entrambe le istanze e per entrambi i ricorsi. 3.   Intimazione a: __________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