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52.2001.324 vom 15. November 2001</w:t>
      </w:r>
    </w:p>
    <w:p>
      <w:r>
        <w:t>TI Tribunale d'appello, 2001-11-15, IT</w:t>
      </w:r>
    </w:p>
    <w:p>
      <w:r>
        <w:rPr>
          <w:b/>
        </w:rPr>
        <w:t xml:space="preserve">Quelle: </w:t>
      </w:r>
      <w:r>
        <w:t>https://mcp.opencaselaw.ch/entscheid/ti_gerichte_52.2001.324</w:t>
      </w:r>
    </w:p>
    <w:p>
      <w:r>
        <w:t>FR: TI_GERICHTE 52.2001.324 du 15 novembre 2001</w:t>
      </w:r>
    </w:p>
    <w:p>
      <w:r>
        <w:t>IT: TI_GERICHTE 52.2001.324 del 15 novembre 2001</w:t>
      </w:r>
    </w:p>
    <w:p>
      <w:pPr>
        <w:pStyle w:val="Heading2"/>
      </w:pPr>
      <w:r>
        <w:t>Regeste</w:t>
      </w:r>
    </w:p>
    <w:p>
      <w:r>
        <w:t>Sentenza o decisione senza scheda</w:t>
      </w:r>
    </w:p>
    <w:p>
      <w:pPr>
        <w:pStyle w:val="Heading2"/>
      </w:pPr>
      <w:r>
        <w:t>Erwägungen</w:t>
      </w:r>
    </w:p>
    <w:p>
      <w:r>
        <w:rPr>
          <w:b/>
        </w:rPr>
        <w:t>E. 32</w:t>
      </w:r>
    </w:p>
    <w:p>
      <w:r>
        <w:t>LOC, che regolamenta la partecipazione all'assemblea comunale e che è applicabile via l'art. 64 della stessa legge al consigliere comunale, si limita difatti a prescrivere che il cittadino non può prendere parte alla discussione ed al voto su oggetti che riguardano il suo personale interesse o quello dei suoi parenti indicati all'art. 83 LOC (cpv. 1), con l'eccezione altresì della procedura di approvazione (recte: adozione) del PR (cpv. 2; cfr. sulla portata della disposizione, diffusamente, RDAT II-2000 n. 2). Inoltre - sia soggiunto per completezza - la carica di consigliere comunale è compatibile con quella di membro di una commissione municipale (art. 43 cpv. 2 e 3 LOC e contrario; inoltre il __________, Il comune, vol. II, pag. 997, che consiglia comunque prudenza nel cumulo di tali cariche, per motivi di opportunità). La circostanza quindi che __________ avesse seduto, in precedenza, nella commissione municipale del PR non gli precludeva la possibilità di partecipare ai lavori ed alle deliberazioni del consiglio comunale concernenti l'adozione della revisione di questo documento. Il fatto, infine, che dopo l'annullamento della prima deliberazione di adozione del PR (del 10 aprile 2000) da parte del Consiglio di Stato, per mancato coinvolgimento della commissione delle petizioni, il municipio abbia riproposto lo stesso strumento e che il nuovo rapporto della commissione edilizia abbia fatto suo quello precedente non permette di mutare il giudizio. 4.   Sulla scorta di quanto precede il ricorso deve essere respinto. La tassa di giudizio dev'essere posta a carico dell'insorgente (art. 28 PAmm), il quale dev'essere altresì tenuto a rifondere delle adeguate ripetibili al comune di __________, assistito da un legale (art. 31 PAmm). Per questi motivi, visti gli art. 32, 64, 208, 209, 212 LOC; 3, 18, 28, 31, 46 PAmm; dichiara e pronuncia: 1.   Il ricorso è respinto. 2.   La tassa di giudizio, di fr. 600.--, è posta a carico del ricorrente, il quale dev'essere altresì tenuto a versare identico importo per ripetibili al comune di __________.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