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52.2001.308 vom 30. November 2001</w:t>
      </w:r>
    </w:p>
    <w:p>
      <w:r>
        <w:t>TI Tribunale d'appello, 2001-11-30, IT</w:t>
      </w:r>
    </w:p>
    <w:p>
      <w:r>
        <w:rPr>
          <w:b/>
        </w:rPr>
        <w:t xml:space="preserve">Quelle: </w:t>
      </w:r>
      <w:r>
        <w:t>https://mcp.opencaselaw.ch/entscheid/ti_gerichte_52.2001.308</w:t>
      </w:r>
    </w:p>
    <w:p>
      <w:r>
        <w:t>FR: TI_GERICHTE 52.2001.308 du 30 novembre 2001</w:t>
      </w:r>
    </w:p>
    <w:p>
      <w:r>
        <w:t>IT: TI_GERICHTE 52.2001.308 del 30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33</w:t>
      </w:r>
    </w:p>
    <w:p>
      <w:r>
        <w:t>cpv. 2 OAC; 10 LALCStr; 1 ss. PAmm; dichiara e pronuncia: 1.   Il ricorso è respinto. 2.   La tassa di giustizia e le spese per complessivi fr. 800.-- sono poste a carico del ricorrente. 3.   Contro la presente decisione è dato ricorso di diritto amministrativo al Tribunale federale di Losanna nel termine di 30 giorni dall'intimazione. 4.   Intimazione a: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