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52.2001.304 vom 23. Mai 2002</w:t>
      </w:r>
    </w:p>
    <w:p>
      <w:r>
        <w:t>TI Tribunale d'appello, 2002-05-23, IT</w:t>
      </w:r>
    </w:p>
    <w:p>
      <w:r>
        <w:rPr>
          <w:b/>
        </w:rPr>
        <w:t xml:space="preserve">Quelle: </w:t>
      </w:r>
      <w:r>
        <w:t>https://mcp.opencaselaw.ch/entscheid/ti_gerichte_52.2001.304</w:t>
      </w:r>
    </w:p>
    <w:p>
      <w:r>
        <w:t>FR: TI_GERICHTE 52.2001.304 du 23 mai 2002</w:t>
      </w:r>
    </w:p>
    <w:p>
      <w:r>
        <w:t>IT: TI_GERICHTE 52.2001.304 del 23 maggio 2002</w:t>
      </w:r>
    </w:p>
    <w:p>
      <w:pPr>
        <w:pStyle w:val="Heading2"/>
      </w:pPr>
      <w:r>
        <w:t>Regeste</w:t>
      </w:r>
    </w:p>
    <w:p>
      <w:r>
        <w:t>Sentenza o decisione senza scheda</w:t>
      </w:r>
    </w:p>
    <w:p>
      <w:pPr>
        <w:pStyle w:val="Heading2"/>
      </w:pPr>
      <w:r>
        <w:t>Erwägungen</w:t>
      </w:r>
    </w:p>
    <w:p>
      <w:r>
        <w:rPr>
          <w:b/>
        </w:rPr>
        <w:t>E. 46</w:t>
      </w:r>
    </w:p>
    <w:p>
      <w:r>
        <w:t>cpv. 1 PAmm; 10 lett. a LALPS) e la legittimazione dell'insorgente certa (art. 43 PAmm). Come si vedrà in seguito, l'impugnativa può essere decisa sulla scorta degli atti, senza istruttoria (art. 18 cpv. 1 PAmm). 2.   2.1. Il diritto al rispetto della vita privata e familiare di cui all'art. 8 CEDU non è assoluto. Un'ingerenza nell'esercizio di tale diritto è ammissibile giusta l'art. 8 n. 2 CEDU se la stessa è prevista dalla legge e costituisce una misura che, in una società democratica, è necessaria per la sicurezza nazionale, l'ordine pubblico, il benessere economico del paese, la prevenzione dei reati, la protezione della salute o della morale, o la protezione dei diritti e delle libertà altrui. 2.2. Se un permesso di soggiorno possa essere rilasciato in base all'art. 8 CEDU è una questione che va vagliata effettuando una ponderazione di tutti gli interessi pubblici e privati in gioco (DTF 115 Ib 6, consid. 3). Per quanto riguarda l'interesse privato al rilascio di un permesso di dimora, in linea di principio un diritto di visita può essere esercitato anche quando il genitore vive all'estero, adattandone se necessario le modalità di esercizio (durata e frequenza); non è indispensabile che il genitore beneficiario del diritto di visita e il figlio vivano nello stesso Paese. Si deve piuttosto tener conto dell'intensità del legame e della distanza che potrebbe separare lo straniero dalla Svizzera qualora gli fosse negato un permesso di dimora. Determinante nell'ambito della ponderazione degli interessi è, inoltre, il grado d'integrazione dello straniero nel Paese ospitante, per la definizione del quale vanno considerati la durata effettiva del soggiorno in Svizzera e il comportamento assunto dall'interessato durante questo periodo, sia sul piano generale sia su quello professionale (DTF 120 Ib 22). 3.   Nell'evenienza concreta, il dipartimento ha negato al ricorrente il rinnovo del permesso di dimora, in quanto suo figlio __________ si trovava, per causa sua, costantemente a carico dell'assistenza pubblica. Dal canto suo il 22 agosto 2001 il Consiglio di Stato, dopo aver rilevato che l'intervento dell'USSI era cessato il 30 giugno precedente dopo l'inoltro del ricorso, ha rimproverato all'insorgente di non aver rimborsato il debito assistenziale e di non voler o poter adattarsi all'ordinamento elvetico. Per questi motivi, ha soggiunto il Governo, l'interesse pubblico di non rinnovare il permesso di soggiorno al ricorrente era prevalente su quello dello stesso di vivere in Svizzera, visto che poteva esercitare il suo diritto di visita ad __________ dal suo Paese d'origine. Sennonché, come si vedrà nel successivo considerando, l'autorità inferiore non ha ponderato in maniera sufficiente tutti gli interessi pubblici e privati in presenza. 4.   4.1. __________ è stato a carico dell'assistenza pubblica nel 1993 e 1994, accumulando un debito di fr. 4'463.55. Il 27 luglio 2001 l'USSI ha informato il Servizio dei ricorsi del Consiglio di Stato di aver dovuto anticipare, pressoché ininterrottamente, dal gennaio 1993 al 30 giugno 2001, gli alimenti che il ricorrente non versava ad __________, per un totale di fr. 25'290.25. Da quanto precede, è incontestato che __________ è stato in maniera continua e rilevante a carico dell'assistenza pubblica a causa di suo padre. D'altra parte, il 30 giugno 2001 lo Stato ha cessato di anticipare gli alimenti al figlio dell'insorgente, dopo che la madre di __________ aveva ritirato la relativa richiesta (v. scritto 27 luglio 2001 dell'USSI al Servizio dei ricorsi del Consiglio di Stato). Ci si può pertanto chiedere se è solo per questo motivo che il ricorrente non ha contratto ulteriori debiti nei confronti dell'assistenza pubblica. L'autorità inferiore non ha infatti accertato la situazione finanziaria dell'insorgente e la sua probabile evoluzione, limitandosi a osservare che l'interessato poteva chiedere semmai al Giudice civile la modifica del contributo alimentare (risoluzione impugnata ad F.6., pag. 15). Non è quindi dato sapere se esiste un rischio concreto che __________ cada in futuro nuovamente a carico dell'assistenza pubblica. 4.2. Il Consiglio di Stato ha inoltre rimproverato al ricorrente di aver interessato le autorità giudiziarie e amministrative del nostro Paese e di non essersi adattato all'ordinamento elvetico, cambiando una decina di posti di lavoro e rimanendo spesso senza attività lucrativa. Gli ha inoltre ricordato le tre precedenti minacce di espulsione e il fatto che l'11 luglio 1996 aveva a carico 15 attestati per carenza beni per oltre fr. 66'000.–. Certo, con decreto d'accusa 10 maggio 1994 il Procuratore pubblico ha condannato __________ a 10 giorni di detenzione, sospesi condizionalmente con un periodo di prova di 3 anni, nonché a una multa di fr. 200.–, per circolazione in stato di ebrietà e infrazione alle norme della circolazione. Tuttavia, tale condanna è lontana nel tempo come quella, di poco peso, del 17 marzo 1986 (multa di fr. 150.– per mancata precedenza). Inoltre, il Governo stesso ha rilevato che l'interessato lavora stabilmente dal 1° febbraio 1998, e meglio come manovale presso la __________ a __________ (risoluzione impugnata ad F.4., pag. 13; ad F.6, pag. 15). D'altra parte, benché l'ultimo dei quali risalga al 16 novembre 1999, il ricorrente ha pur sempre parecchi atti di carenza beni ancora a suo carico. Come se non bastasse, egli non nega di essere attualmente oggetto di pignoramento di salario. Non va inoltre dimenticato le tre precedenti minacce di espulsione decretate nei confronti dell'insorgente. 4.3. Per quanto concerne l'interesse privato del ricorrente a soggiornare in Svizzera, l'Esecutivo cantonale non ha dato peso al fatto che egli vi dimora da una quindicina d'anni. Non è inoltre dato sapere la qualità del legame tra __________ e suo padre, in altre parole se esso rientri nella normalità. Su questo punto il Governo, nonostante abbia considerato importante l'interesse di __________ a soggiornare in Svizzera (ad H., pag. 18), si è limitato a rilevare che __________, quindicenne, ha vissuto sempre con sua madre cui è stato affidato e con la quale ha un legame più intenso. Ha pure sostenuto che __________ è andato a vivere presso il ricorrente soltanto dopo l'inoltro del ricorso, quindi per motivi di causa. 4.4. Ne discende che lo stato di fatto, così come risulta dalla sentenza del Consiglio di Stato e dall'inserto di causa, è incompleto per poter decidere se la decisione impugnata rispetta il principio di proporzionalità. Il Tribunale non può sostituirsi all'Esecutivo cantonale nell'ambito della ponderazione degli interessi in presenza. Il Governo, sotto questo profilo, fruisce infatti di un esteso potere discrezionale, il cui esercizio può essere censurato da parte di questo Tribunale unicamente nella misura in cui integri gli estremi di una violazione del diritto. 5.   In simili circostanze, ben si giustifica di annullare la decisione impugnata e rinviare gli atti all'autorità inferiore affinché provveda a esaminare la proporzionalità del rifiuto di rinnovare il permesso di dimora al ricorrente, ponderando nuovamente gli interessi privati e pubblici in presenza. Il Consiglio di Stato completerà quindi l'inchiesta, da una parte quo all'intensità del legame tra l'insorgente e suo figlio, dall'altra quo alla situazione finanziaria di __________ (introiti e debiti attuali) e riesaminando ancora una volta il comportamento assunto dall'insorgente durante il suo soggiorno in Svizzera, tenendo segnatamente presente che egli ha garantito di voler rimborsare entro breve il debito assistenziale. 6.   Il ricorso dev'essere pertanto accolto e la decisione del Consiglio di Stato annullata. Visto l'esito del gravame, si prescinde dal prelievo di tasse e spese di giudizio. Per questi motivi, visti gli art. 100 cpv. 1 lett. b n. 3 OG; 8 CEDU; 5 LDDS; 16 ODDS; 10 lett. a LALPS; 3, 18, 28, 43, 46, 60, 61, 65 PAmm; dichiara e pronuncia: 1.   Il ricorso è accolto. §.              Di conseguenza: 1.1.   la decisione 22 agosto 2001 (n. 3788) del Consiglio di Stato è annullata; 1.2.   gli atti sono ritornati al Consiglio di Stato affinché proceda come illustrato nei considerandi. 2.   Non si prelevano né tasse né spese di giustizia.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