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52.2001.277 vom 20. August 2002</w:t>
      </w:r>
    </w:p>
    <w:p>
      <w:r>
        <w:t>TI Tribunale d'appello, 2002-08-20, IT</w:t>
      </w:r>
    </w:p>
    <w:p>
      <w:r>
        <w:rPr>
          <w:b/>
        </w:rPr>
        <w:t xml:space="preserve">Quelle: </w:t>
      </w:r>
      <w:r>
        <w:t>https://mcp.opencaselaw.ch/entscheid/ti_gerichte_52.2001.277</w:t>
      </w:r>
    </w:p>
    <w:p>
      <w:r>
        <w:t>FR: TI_GERICHTE 52.2001.277 du 20 août 2002</w:t>
      </w:r>
    </w:p>
    <w:p>
      <w:r>
        <w:t>IT: TI_GERICHTE 52.2001.277 del 20 agosto 2002</w:t>
      </w:r>
    </w:p>
    <w:p>
      <w:pPr>
        <w:pStyle w:val="Heading2"/>
      </w:pPr>
      <w:r>
        <w:t>Regeste</w:t>
      </w:r>
    </w:p>
    <w:p>
      <w:r>
        <w:t>Sentenza o decisione senza scheda</w:t>
      </w:r>
    </w:p>
    <w:p>
      <w:pPr>
        <w:pStyle w:val="Heading2"/>
      </w:pPr>
      <w:r>
        <w:t>Erwägungen</w:t>
      </w:r>
    </w:p>
    <w:p>
      <w:r>
        <w:rPr>
          <w:b/>
        </w:rPr>
        <w:t>E. 6</w:t>
      </w:r>
    </w:p>
    <w:p>
      <w:r>
        <w:t>ad art. 34; Merkli / Aeschlimann / Herzog, Kommentar zum Gesetz über die Verwaltungsrechtspflege im Kanton Bern, N. 16 ad art. 117); che in tale stadio procedurale non può per contro venir rimessa in discussione la legittimità del provvedimento eseguito; su questo aspetto, la suddetta risoluzione costituisce in effetti una decisione d'esecuzione, a carattere meramente confermativo di obblighi già precedentemente sanciti (cfr. Borghi / Corti, ibidem; Merkli / Aeschlimann / Herzog, ibidem); che, in concreto, l'esigenza di procedere alla demolizione è stata stabilita da questo Tribunale con giudizio definitivo 13 novembre 2000; che, considerata l'inadempienza dell'insorgente nonostante le svariate diffide intimategli dal municipio, l'esecuzione forzata per sostituzione, con il carico dei relativi costi all'astretto, è risultata una conseguenza diretta e ineludibile di tale giudicato, atta a garantirne l'effettività; che l'insorgente non eccepisce l'incongruità della dettagliata fattura emessa dall'impresa di costruzioni __________, la quale risulta peraltro inferiore ai due preventivi di spesa fatti allestire dal municipio; che le censure riguardanti l'accollamento degli oneri di ripristino al comune, appellandosi al principio dell'affidamento, esulano dal contesto di una semplice procedura di esecuzione di obbligazioni già giudizialmente definite in precedenza e risultano pertanto improponibili in questa sede; che per gli stessi motivi l'esito di un'eventuale azione in responsabilità promossa nei confronti dell'ente pubblico, di competenza del giudice civile ordinario (art. 22 cpv. 1 LResp), non si impone come una questione pregiudiziale di decisivo rilievo nel contesto della presente procedura; che, di conseguenza, non si giustifica la sospensione del procedimento ed il rinvio dell'interessato al foro civile, ai sensi dell'art. 7 PAmm (cfr. Borghi / Corti, op. cit., N. 2b ad art. 7; Kölz / Bosshart / Röhl, Kommentar zum Verwaltungsrechtspflegegesetz des Kantons Zürich, 2a ed, § 1 N. 33); che la compensazione delle rispettive pretese è esclusa già per il fatto che, giusta l'art. 125 cfr. 3 CO, le obbligazioni derivanti dal diritto pubblico verso gli enti pubblici non possono estinguersi mediante compensazione, contro la volontà del creditore; che, qualora i motivi di ricorso addotti esulino da quelli proponibili nel contesto del relativo gravame, il ricorso deve essere giudicato irricevibile, difettando di un presupposto processuale (cfr. Bovay, Procédure administrative, p. 392 e 397; Kölz / Häner, Verwaltungsverfahren und Verwaltungsrechtspflege des Bundes, ed. 1998, N. 617); che, in esito a quanto precede, nella misura in cui è ricevibile, il gravame va respinto; che la tassa di giustizia e le spese seguono la soccombenza (art. 28 PAmm). Per questi motivi, visti gli art. 125 CO; 21, 43, 45 LE; 22 LResp; 3, 7, 18, 28, 34, 43, 60, 61 PAmm; dichiara e pronuncia: 1.   Nella misura in cui è ricevibile, il ricorso è respinto. 2.   La tassa di giustizia e le spese, per complessivi fr. 800.--, sono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