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52.2001.249 vom 25. Januar 2002</w:t>
      </w:r>
    </w:p>
    <w:p>
      <w:r>
        <w:t>TI Tribunale d'appello, 2002-01-25, IT</w:t>
      </w:r>
    </w:p>
    <w:p>
      <w:r>
        <w:rPr>
          <w:b/>
        </w:rPr>
        <w:t xml:space="preserve">Quelle: </w:t>
      </w:r>
      <w:r>
        <w:t>https://mcp.opencaselaw.ch/entscheid/ti_gerichte_52.2001.249</w:t>
      </w:r>
    </w:p>
    <w:p>
      <w:r>
        <w:t>FR: TI_GERICHTE 52.2001.249 du 25 janvier 2002</w:t>
      </w:r>
    </w:p>
    <w:p>
      <w:r>
        <w:t>IT: TI_GERICHTE 52.2001.249 del 25 gennaio 2002</w:t>
      </w:r>
    </w:p>
    <w:p>
      <w:pPr>
        <w:pStyle w:val="Heading2"/>
      </w:pPr>
      <w:r>
        <w:t>Regeste</w:t>
      </w:r>
    </w:p>
    <w:p>
      <w:r>
        <w:t>Sentenza o decisione senza scheda</w:t>
      </w:r>
    </w:p>
    <w:p>
      <w:pPr>
        <w:pStyle w:val="Heading2"/>
      </w:pPr>
      <w:r>
        <w:t>Erwägungen</w:t>
      </w:r>
    </w:p>
    <w:p>
      <w:r>
        <w:rPr>
          <w:b/>
        </w:rPr>
        <w:t>E. 1</w:t>
      </w:r>
    </w:p>
    <w:p>
      <w:r>
        <w:t>PAmm) e la legittimazione dell'insorgente certa (art. 43 PAmm). Il ricorso è pertanto ricevibile in ordine. Dal momento che le decisioni, separate, con cui il Consiglio di Stato ha evaso le opposizioni sono state dichiarate parte integrante della risoluzione governativa di costituzione del consorzio 12 giugno 2001, n. 2743, l'impugnazione della risoluzione di stessa data, n. 2749, attraverso la quale è stata respinta l'opposizione di __________, spiega effetti anche nei confronti della determinazione della sua interessenze effettuata, insieme a quella degli altri consorziati, in quella sede. La circostanza secondo cui __________ non abbia impugnato anche la risoluzione n. 2743, peraltro nemmeno intimata al suo patrocinatore e di cui non vi era menzione nella decisione n. 2749, non può invece pregiudicare la ricevibilità del gravame.</w:t>
      </w:r>
    </w:p>
    <w:p>
      <w:r>
        <w:rPr>
          <w:b/>
        </w:rPr>
        <w:t>E. 1.2</w:t>
      </w:r>
    </w:p>
    <w:p>
      <w:r>
        <w:t>La domanda di accoglimento parziale del gravame e di retrocessione degli atti al Governo per una completazione del rapporto di impatto ambientale, formulata nelle osservazioni 23 novembre 2001 del comune di __________, esula invece palesemente dall'oggetto della lite, concernente la definizione della partecipazione di __________ nel consorzio in esame. Essa dev'essere considerata d'acchito inammissibile già per questo motivo. Il contenzioso amministrativo ticinese non conosce peraltro l'istituto del ricorso adesivo (cfr. nello stesso senso Merkli / Aeschlimann/Herzog, Kommentar zum Gesetz über die Verwaltungsrechtspflege im Kanton Bern, Berna 1997, ad art. 69 N. 3).</w:t>
      </w:r>
    </w:p>
    <w:p>
      <w:r>
        <w:rPr>
          <w:b/>
        </w:rPr>
        <w:t>E. 1.3</w:t>
      </w:r>
    </w:p>
    <w:p>
      <w:r>
        <w:t>Il gravame può infine essere deciso sulla scorta degli atti, senza istruttoria (art. 18 cpv. 1 PAmm). 2.   Giusta l'art. 1 LCons i laghi, i fiumi, i torrenti e gli altri corsi d'acqua del Cantone devono essere sistemati e corretti con opere adatte (cpv. 1); devono pure essere eseguite le opere di premunizione, consolidamento, piantagione ed imboschimento necessarie per prevenire od arrestare gli scoscendimenti, le frane e le valanghe (cpv. 2). Qualora da queste opere derivi vantaggio a tutta la collettività o a più di un interessato e sia inoltre riconosciuta la loro pubblica utilità, esse dovranno essere eseguite e mantenute a mezzo ed a spese dei consorzi (art. 3 cpv. 1 LCons). Nel caso di opere di interesse generale dovranno far parte del consorzio tutti i comuni, gli altri enti pubblici e le aziende pubbliche, nonché gli enti e le aziende private (rectius: privati) che esercitano un'attività di interesse generale, ai quali dalle opere derivi un vantaggio (art. 4 cpv. 1 LCons). Nel caso invece di opere di prevalente interesse particolare, dovranno far parte del consorzio tutti i privati e le persone giuridiche, comprese quelle di diritto pubblico, ai quali dalle opere derivi un vantaggio particolare (art. 4 cpv. 2 LCons). Le spese saranno ripartite tra i membri del consorzio in proporzione al vantaggio che loro deriva (art. 5 cpv. 1 LCons). Nel caso di consorzi costituiti secondo l'art. 4 cpv. 1 LCons, il comune può prelevare contributi a carico dei proprietari o di titolari di diritti reali o di altri diritti in applicazione della legge sui contributi di miglioria (art. 5 cpv. 2 LCons). 3.   3.1. Il tema centrale della controversia verte sulla validità e, di conseguenza, sull'applicabilità della convenzione conchiusa il 14 novembre 1988 tra la Confederazione svizzera, __________, ed il dipartimento cantonale del territorio, attraverso la quale vennero definiti i parametri determinanti per il calcolo delle interessenze dell'azienda __________ nei consorzi di arginatura di futura ristrutturazione o costituzione. Secondo il patto 2 della menzionata convenzione tali parametri corrispondevano per gli edifici, a fr. 300.--/mc, dove volume = 90% del volume SIA (lett. a), per i terreni al valore di stima (lett. b), per le installazioni tecniche al 60% del valore a nuovo (lett. c). Nel computo delle interessenze si sarebbe invece fatta astrazione delle linee aeree e sotterranee (lett. d). Tali basi di calcolo sono stati adottate in concreto per determinare l'interessenza della ricorrente __________ nel consorzio obbligatorio per la realizzazione delle opere di arginatura lungo il fiume __________. 3.2. In virtù dell'art. 23 cpv. 1 della legge federale sull'organizzazione dell'azienda delle telecomunicazioni della Confederazione del 30 aprile 1997, con il 1. gennaio 1998 __________ ha ripreso gli attivi ed i passivi delle parti dell'azienda delle __________ che fornivano servizi di telecomunicazione e radiodiffusione, di cui essa ha continuato la gestione giusta l'art. 21 cpv. 1 della stessa legge. L'impegno assunto convenzionalmente il 14 novembre 1988 non è pertanto decaduto a seguito della scissione e trasformazione dell'azienda delle __________. Non è del resto nemmeno lontanamente immaginabile che la Confederazione svizzera abbia inteso sottrarsi agli impegni assunti per il tramite della cessata azienda delle __________ mediante la costituzione di due nuovi enti (__________e __________). In quanto successore dell'azienda delle __________ per il settore delle telecomunicazioni la ricorrente è pertanto tenuta al rispetto della testé menzionata convenzione. 3.3. Nell'ambito della suddivisione dell'azienda delle __________ i fondi che spettavano a __________ sono tuttavia stati trasferiti a due società anonime affiliate, __________ e __________, con decreti del Consiglio federale 12 novembre 1997 e 13 maggio 1998 (FF 1997 IV 1191 segg.; 1998 III 2546 segg.). Trattandosi di persone giuridiche distinte da __________, la partecipazione di quest'ultima società alle spese del consorzio non poteva essere calcolata sulla base del valore degli immobili di pertinenza delle sue società affiliate. L'effetto del menzionato trasferimento di proprietà doveva peraltro essere ben noto all'autorità cantonale, dal momento che era già stato messo in evidenza in sede di costituzione del consorzio obbligatorio di manutenzione delle opere di arginatura nella zona di confluenza dei fiumi Ticino e Moesa: in quel contesto, la distinzione, imprescindibile, tra __________ e __________ aveva influenzato, in maniera decisiva, il giudizio di irricevibilità dei gravami introdotti dalle predette società dinanzi a questo Tribunale contro la chiave di ripartizione dei costi effettuata in quella sede (cfr. STA 9 ottobre 2000 in re __________ e __________). Poco importa accertare, a questo punto, se le società affiliate __________ e __________ __________ siano anch'esse vincolate dalla testé menzionata convenzione per il motivo che __________ detiene la totalità del loro capitale: simile accertamento non sarebbe, del resto, nemmeno lecito in questa sede, dal momento che le predette società sono estranee alla vertenza. Decisivo ma anche sufficiente ai fini del presente giudizio è che la ricorrente, __________, non può essere chiamata a partecipare alle spese del consorzio in funzione di edifici, terreni e, se del caso, installazioni tecniche di cui non è proprietaria: lo esige il rispetto della convenzione 14 novembre 1988, che pur è a tutt'oggi valida e vincolante nei confronti dell'insorgente. L'interessenza di quest'ultima dev'essere modificata di conseguenza. Il ricorso dev'essere accolto già per questo motivo e gli atti retrocessi al Consiglio di Stato affinché ricalcoli l'interessenza della ricorrente - e se del caso di altri consorziati o di terzi (cfr. consid. 1.1.) - sulla scorta delle considerazioni che precedono (art. 65 cpv. 2 PAmm). 4.   L'insorgente denuncia inoltre una discriminazione rispetto ai nuovi operatori di telecomunicazione, che non sono stati chiamati a contribuire ai costi delle opere. Nel giudizio impugnato il Governo ha considerato che le installazioni dei nuovi operatori di telecomunicazione erano limitate ad antenne di telefonia mobile, la cui posa aveva oltretutto avuto inizio a partire dall'ottobre 1998, posteriormente quindi alla data di allestimento della chiave di riparto dei costi del consorzio. __________ non era pertanto stata trattata in maniera discriminatoria nei loro confronti; tanto più che rimaneva altresì riservata la possibilità di rivedere le singole partecipazioni giusta l'art. 27 LCons. Nel gravame l'insorgente rileva che il calcolo delle interessenze, aggiornato al febbraio 2000, avrebbe dovuto tener conto delle installazioni tecniche realizzate dai nuovi operatori di telefonia mobile. A torto, tuttavia. In effetti, le interessenze di __________ nel consorzio in esame sono state determinate sommando i valori assegnati ad edifici, terreni ed installazioni dell'azienda delle __________, giusta la nota convenzione 14 novembre 1988, ai fini della sua partecipazione negli esistenti consorzi di manutenzione degli argini del Basso e dell'Alto Vedeggio. Tali valori sono pertanto stati accertati oltre una decina di anni fa (cfr. gli estratti delle perizie circa le interessenze nei menzionati consorzi di arginatura, allegati n. 4 e 5 all'opposizione 14 aprile 2000); agli stessi non è dunque stato sommato il valore delle installazioni frattanto realizzate dalla ricorrente. Quest'ultima non può, di conseguenza, pretendere che i suoi concorrenti, appena apparsi sul mercato, siano chiamati a contribuire su installazioni che hanno iniziato a costruire solo a partire dalle fine del 1998, pena una loro netta discriminazione nei suoi confronti. Su questo punto il gravame dev'essere respinto. 5.   Il Tribunale rinuncia a prelevare una tassa di giudizio (art. 28 PAmm). Lo Stato è invece tenuto a versare all'insorgente, assistita da un legale, delle adeguate ripetibili (art. 31 PAmm). Per questi motivi, visti gli art. 1, 3, 4, 5, 6, 8, 9, 10, 32 LCons, 208 LOC, 3, 18, 28, 43, 46, 61, 63 PAmm; dichiara e pronuncia: 1.   Il ricorso è accolto. §.                                     la risoluzione 12 giugno 2001 (n. 2749) con cui il Consiglio di Stato ha respinto l'opposizione 14 aprile 2000 di __________ contro la chiave di ripartizione dei costi del consorzio obbligatorio per la realizzazione delle opere di arginatura lungo il fiume __________ è annullata; §§.                                  gli atti sono retrocessi al Consiglio di Stato affinché ricalcoli         l'interessenza della ricorrente secondo quanto indicato nel                           considerando</w:t>
      </w:r>
    </w:p>
    <w:p>
      <w:r>
        <w:rPr>
          <w:b/>
        </w:rPr>
        <w:t>E. 3</w:t>
      </w:r>
    </w:p>
    <w:p>
      <w:r>
        <w:t>del presente giudizio. 2.   Non si preleva una tassa di giudizio. Lo Stato è tenuto a versare alla ricorrente fr. 800.-- per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