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52.2001.245 vom 21. November 2001</w:t>
      </w:r>
    </w:p>
    <w:p>
      <w:r>
        <w:t>TI Tribunale d'appello, 2001-11-21, IT</w:t>
      </w:r>
    </w:p>
    <w:p>
      <w:r>
        <w:rPr>
          <w:b/>
        </w:rPr>
        <w:t xml:space="preserve">Quelle: </w:t>
      </w:r>
      <w:r>
        <w:t>https://mcp.opencaselaw.ch/entscheid/ti_gerichte_52.2001.245</w:t>
      </w:r>
    </w:p>
    <w:p>
      <w:r>
        <w:t>FR: TI_GERICHTE 52.2001.245 du 21 novembre 2001</w:t>
      </w:r>
    </w:p>
    <w:p>
      <w:r>
        <w:t>IT: TI_GERICHTE 52.2001.245 del 21 novembre 2001</w:t>
      </w:r>
    </w:p>
    <w:p>
      <w:pPr>
        <w:pStyle w:val="Heading2"/>
      </w:pPr>
      <w:r>
        <w:t>Regeste</w:t>
      </w:r>
    </w:p>
    <w:p>
      <w:r>
        <w:t>Sentenza o decisione senza scheda</w:t>
      </w:r>
    </w:p>
    <w:p>
      <w:pPr>
        <w:pStyle w:val="Heading2"/>
      </w:pPr>
      <w:r>
        <w:t>Erwägungen</w:t>
      </w:r>
    </w:p>
    <w:p>
      <w:r>
        <w:rPr>
          <w:b/>
        </w:rPr>
        <w:t>E. 28</w:t>
      </w:r>
    </w:p>
    <w:p>
      <w:r>
        <w:t>cpv. 1 ter AI). Il Governo ha rilevato che il Paese d'origine dell'insorgente dispone delle necessarie strutture per assisterlo medicalmente e ha indicato che il provvedimento adottato dall'autorità di prime cure permette in ogni caso all'interessato di rientrare in Svizzera nell'ambito della normativa per i turisti per sottoporsi ad eventuali cure o terapie, comprovandone tuttavia la necessità. L'Esecutivo cantonale è giunto a tali conclusioni senza tuttavia esaminare preliminarmente la proporzionalità del provvedimento impugnato. Non ha tenuto conto della gravità della colpa a carico del ricorrente e della durata del suo soggiorno in Svizzera, così come sancito dagli art. 11 cpv. 3 LDDS e 16 cpv. 3 ODDS. È vero che l'Esecutivo cantonale ha rimproverato all'insorgente di essere rimasto senza attività lucrativa per oltre 4 anni. Tuttavia, il Governo non ha preso posizione sugli argomenti invocati da __________, ossia di essersi trovato in situazione precaria a causa della sua salute e dei suoi problemi famigliari; tanto più che, con circostanziato rapporto 19 aprile 2001, indirizzato al suo Servizio dei ricorsi, il Servizio di psichiatria e di psicologia medica esprimeva il timore che un rifiuto del rinnovo del permesso di dimora avrebbe fortemente pregiudicato la salute (fisica e psichica) del ricorrente. Ne discende che lo stato di fatto, così come risulta dalla sentenza del Consiglio di Stato e dall'inserto di causa, è incompleto per poter decidere se la decisione del dipartimento rispetta il principio di proporzionalità. Il Tribunale non può sostituirsi all'Esecutivo cantonale nell'ambito della ponderazione degli interessi in presenza. Il Governo, sotto questo profilo, fruisce infatti di un esteso potere discrezionale, il cui esercizio può essere censurato da parte di questo Tribunale unicamente nella misura in cui integri gli estremi di una violazione del diritto. 5.   In simili circostanze, ben si giustifica di annullare la decisione impugnata e rinviare gli atti all'autorità inferiore affinché provveda a esaminare la proporzionalità del rifiuto di rinnovare il permesso di dimora al ricorrente, rispettivamente di rilasciargli un permesso di domicilio. Il Consiglio di Stato completerà l'inchiesta quo all'instabilità professionale dell'insorgente, tenendo pure conto della durata del suo soggiorno nel nostro Paese. Esso valuterà nuovamente quali sono le attuali condizioni di salute di __________ e verificherà l'ammontare della sua attuale prestazione complementare annua, richiamando - se del caso - gli incarti AI e PC. Aggiornerà pure la verifica circa la situazione economica dell'insorgente e verificherà se egli ha rimborsato le prestazioni di assistenza finora percepite, in parte indebitamente, e se ha messo a profitto la sua capacità lavorativa residua. 6.   Il ricorso dev'essere pertanto accolto e la decisione del Consiglio di Stato annullata. Visto l'esito del gravame, si prescinde dal prelievo di tasse e spese di giudizio. Per questi motivi, visti gli art. 100 cpv. 1 lett. b n. 3 OG; 5, 6, 7, 10, 11 LDDS; 16 ODDS; 10 lett. a LALPS; 3, 18, 28, 43, 46, 60, 61, 65 PAmm; dichiara e pronuncia: 1.   Il ricorso è accolto. §.              Di conseguenza: 1.1.   la decisione 22 maggio 2001 (n. 2419) del Consiglio di Stato è annullata; 1.2.   gli atti sono ritornati al Consiglio di Stato affinché proceda come illustrato nei considerandi. 2.   Non si prelevano né tasse né spese di giustizia. 3.   Contro la presente decisione è dato ricorso di diritto amministrativo al Tribunale federale a Losanna nel termine di 30 giorni dall'intimazione.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