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52.2001.220 vom 2. Juli 2001</w:t>
      </w:r>
    </w:p>
    <w:p>
      <w:r>
        <w:t>TI Tribunale d'appello, 2001-07-02, IT</w:t>
      </w:r>
    </w:p>
    <w:p>
      <w:r>
        <w:rPr>
          <w:b/>
        </w:rPr>
        <w:t xml:space="preserve">Quelle: </w:t>
      </w:r>
      <w:r>
        <w:t>https://mcp.opencaselaw.ch/entscheid/ti_gerichte_52.2001.220</w:t>
      </w:r>
    </w:p>
    <w:p>
      <w:r>
        <w:t>FR: TI_GERICHTE 52.2001.220 du 2 juillet 2001</w:t>
      </w:r>
    </w:p>
    <w:p>
      <w:r>
        <w:t>IT: TI_GERICHTE 52.2001.220 del 2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02.07.2001 52.2001.220 Tessin Tribunale cantonale amministrativo 02.07.2001 52.2001.220 Ticino Tribunale cantonale amministrativo 02.07.2001 52.2001.220</w:t>
      </w:r>
    </w:p>
    <w:p>
      <w:r>
        <w:t>Sentenza o decisione senza scheda</w:t>
      </w:r>
    </w:p>
    <w:p>
      <w:r>
        <w:t>Incarto n. 52.2001.00220 Lugano 2 luglio 2001 In nome della Repubblica e Cantone del Ticino Il Tribunale cantonale amministrativo composto dei giudici: Lorenzo Anastasi, presidente, Raffaello Balerna, Efrem Beretta quest'ultimo in sostituzione del giudice Stefano Bernasconi, astenutosi segretario: Leopoldo Crivelli statuendo sul ricorso  7 giugno 2001 della __________ contro la decisione 29 maggio 2001 del Consiglio di Stato (n. 2501) che delibera alla __________ le opere di risanamento del pavimento in materiale sintetico della palestra del __________ di __________; viste le risposte: -    13 giugno 2001 della __________; -    22 giugno 2001 del Consiglio di Stato; letti ed esaminati gli atti; ritenuto, in fatto che il 2 marzo 2001 nell'ambito di importanti lavori di ristrutturazione del __________ di __________ il Dipartimento delle Finanze e dell'Economia (DFE) ha indetto un pubblico concorso per le opere di risanamento del pavimento in materiale sintetico della palestra; che il capitolato d'appalto e modulo d'offerta obbligava i concorrenti ad esaminare sul posto, d'intesa con il progettista, gli interventi messi a concorso, avvertendo che "il mancato ossequio di questa condizione" avrebbe comportato "l'annullamento dell'offerta" ; che l'esperimento del sopralluogo doveva essere certificato dal progettista mediante firma apposta in calce alla relativa dichiarazione annessa al capitolato; che al concorso hanno partecipato 4 ditte, fra cui la ricorrente __________, con un'offerta di fr. 93'499.55; che con decisione 29 maggio 2001 il Consiglio di Stato ha deliberato i lavori alla __________ (offerta: fr. 106'060.25), scartando l'offerta della __________, siccome priva della dichiarazione controfirmata dal progettista attestante l'effettivo esperimento del sopralluogo richiesto a titolo di condizione dal capitolato e modulo d'offerta; che contro questa decisione la __________ insorge davanti al Tribunale cantonale amministrativo, chiedendone l'annullamento; che l'insorgente asserisce di aver esperito il sopralluogo, ma di aver omesso - per una svista del suo segretariato - di allegare all'offerta il modulo firmato dal progettista attestante l'adempimento di questa formalità; che il ricorso è avversato dal Consiglio di Stato e dalla __________ con argomenti che verranno discussi qui appresso; considerato, in diritto che la competenza del Tribunale cantonale amministrativo discende dagli art. 15 cpv. 1 CIAP e 4 cpv. 1 DLACIAP, le condizioni poste dagli art. 6, 7 ed 8 CIAP con riferimento al tipo di commessa, al valore soglia ed al committente sono pacificamente soddisfatte; che la __________, partecipante esclusa dal concorso, è senz'altro legittimata a ricorrere; che il ricorso, tempestivo (art. 15 cpv. 2 CIAP), è dunque ricevibile in ordine; che il giudizio può essere reso sulla base degli atti, senza istruttoria (art. 18 PAmm); che il bando del concorso, comprensivo del capitolato d'appalto e del modulo d'offerta, stabilisce le regole della procedura d'aggiudicazione; esso vincola tanto i concorrenti, che devono inoltrare offerte conformi ai requisiti posti, quanto il committente, che al fine di assicurare la parità di trattamento tra i concorrenti, è tenuto ad estromettere le offerte difformi; che, nell'evenienza concreta, il modulo d'offerta stabiliva esplicitamente che l'esperimento del sopralluogo obbligatorio doveva essere certificato dal progettista mediante firma da apporre sull'apposito formulario annesso, pena l'esclusione ( "annullamento" ) dell'offerta; che per sua stessa ammissione l'insorgente ha disatteso questa formalità: sono quindi date le premesse per applicare la comminatoria dell'esclusione; che il fatto che la ricorrente abbia effettivamente esperito un sopralluogo con il progettista, che questi abbia controfirmato il formulario e che il mancato inoltro di quest'atto alla stazione appaltante sia da imputare ad una svista dei suoi servizi di segreteria è del tutto irrilevante; l'esigenza di assicurare la parità di trattamento fra i concorrenti esclude di principio la possibilità di completare la documentazione dopo la scadenza del termine per l'inoltro delle offerte; che la decisione governativa impugnata va quindi confermata siccome immune da violazione del diritto; che la tassa di giustizia è posta a carico della ricorrente secondo soccombenza. visti gli art. 6, 7, 8, 15 CIAP; 4 DLACIAP; § 23 Dir CIAP; 3, 18, 28, 60, 61 PAmm; dichiara e pronuncia: 1.   Il ricorso è respinto. 2.   La tassa di giustizia di fr. 500.-- è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