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52.2001.212 vom 16. Juli 2001</w:t>
      </w:r>
    </w:p>
    <w:p>
      <w:r>
        <w:t>TI Tribunale d'appello, 2001-07-16, IT</w:t>
      </w:r>
    </w:p>
    <w:p>
      <w:r>
        <w:rPr>
          <w:b/>
        </w:rPr>
        <w:t xml:space="preserve">Quelle: </w:t>
      </w:r>
      <w:r>
        <w:t>https://mcp.opencaselaw.ch/entscheid/ti_gerichte_52.2001.212</w:t>
      </w:r>
    </w:p>
    <w:p>
      <w:r>
        <w:t>FR: TI_GERICHTE 52.2001.212 du 16 juillet 2001</w:t>
      </w:r>
    </w:p>
    <w:p>
      <w:r>
        <w:t>IT: TI_GERICHTE 52.2001.212 del 16 luglio 2001</w:t>
      </w:r>
    </w:p>
    <w:p>
      <w:pPr>
        <w:pStyle w:val="Heading2"/>
      </w:pPr>
      <w:r>
        <w:t>Regeste</w:t>
      </w:r>
    </w:p>
    <w:p>
      <w:r>
        <w:t>Sentenza o decisione senza scheda</w:t>
      </w:r>
    </w:p>
    <w:p>
      <w:pPr>
        <w:pStyle w:val="Heading2"/>
      </w:pPr>
      <w:r>
        <w:t>Erwägungen</w:t>
      </w:r>
    </w:p>
    <w:p>
      <w:r>
        <w:rPr>
          <w:b/>
        </w:rPr>
        <w:t>E. 23</w:t>
      </w:r>
    </w:p>
    <w:p>
      <w:r>
        <w:t>LApp, che imponeva di considerare: a) la qualifica del concorrente in rapporto all'esperienza, alle capa-    cità tecniche professionali e organizzative, al credito finanziario e            alle garanzie che offre per la puntuale esecuzione dell'opera a   perfetta regola d'arte; b) l'attendibilità e la convenienza dei prezzi offerti, singolarmente e nel loro complesso; c) l'idoneità dell'offerta in rapporto all'entità e qualità del personale tecnico, della mano d'opera specializzata e delle attrezzature che il       concorrente si impegna a mettere a disposizione per l'esecuzione           dell'opera; d) il grado d'occupazione, nel senso di realizzare una equa distribuzione dei lavori ai concorrenti idonei; e) il contributo dato alla formazione di apprendisti; f)  il domicilio fiscale nel Cantone Ticino; g) le prestazioni fiscali nel Cantone Ticino; h) l'impiego di materiali e prodotti indigeni; i)  il volume dei lavori pubblici effettuati negli ultimi tre anni; l)  la sicurezza e mantenimento dei posti di lavoro nel Cantone. Per i lavori sussidiati entravano inoltre in considerazione il domicilio fiscale e le prestazioni fiscali dei singoli concorrenti all'interno del comprensorio dell'ente appaltante (art. 26 lett. f LApp). 2.2. Le decisioni di aggiudicazione che prescindevano dalla minor offerta per privilegiare, in applicazione dei criteri suindicati, un'offerta più onerosa, rientrante nel margine del 5% sancito dall'art. 22 LApp, dovevano in ogni caso essere adeguatamente motivate (art. 26 cpv. 1 PAmm), in modo da permettere agli interessati di capacitarsi della bontà della scelta e di tutelare, se necessario, i loro diritti davanti alle istanze di ricorso. La decisione doveva in particolare specificare quale dei criteri d'aggiudicazione previsti dall'art. 23 LApp aveva indotto il committente a scegliere un offerta più onerosa. Il semplice rinvio al margine del 5% di cui all'art. 22 LApp non costituiva una giustificazione sufficiente. Questo margine costituiva infatti soltanto il presupposto che doveva essere soddisfatto affinché il committente potesse scostarsi dall'offerta più bassa per privilegiare un'offerta più onerosa sulla base dei criteri d'aggiudicazione elencati dall'art. 23 LApp. 3.   Nell'evenienza concreta, l'offerta più bassa era quella inoltrata dalla __________ (fr. 77'354.70). La commissione amministrativa della __________ l'ha tuttavia disattesa per privilegiare l'offerta della __________, leggermente più onerosa (+ fr. 447.65 = + 0.58 %), siccome rientrante nel limite del 5% di cui all'art. 22 LApp. L'ente committente non ha fornito alcuna giustificazione di questa scelta. Né la delibera, né la risposta al ricorso forniscono spiegazioni in proposito. La commissione amministrativa della __________ si limita a richiamarsi all'art. 26 f LApp ed alle indicazioni datele dal progettista, rispettivamente al preavviso dell'ULSA. Non fornisce alcun elemento che permetta di controllare la legittimità dell'aggiudicazione sulla base dei criteri elencati dall'art. 23 LApp o di quello aggiuntivo previsto dall'art. 26 f LApp per i lavori sussidiati (criterio comunque inapplicabile al caso concreto, perché entrambe le ditte non hanno il domicilio fiscale nel comprensorio). Non potendosi giustificare la scelta di un'offerta più onerosa con il semplice fatto che rientra nel limite del 5% dall'offerta più bassa, la delibera censurata va annullata siccome del tutto immotivata. 4.   In esito alle considerazioni che precedono, il ricorso va pertanto accolto, annullando la decisione 15 maggio 2001 della __________ siccome lesiva del diritto. Gli atti vanno rinviati alla fondazione resistente per nuova decisione. La tassa di giustizia è suddivisa fra la fondazione resistente e la __________ secondo soccombenza. Per questi motivi, visti gli art. 1, 22, 23, 26 LApp; 47 LCPubb; 3, 18, 28, 60, 61, 65 PAmm; dichiara e pronuncia: 1.   Il ricorso è accolto. §.  Di conseguenza: 1.1.   la delibera 15 maggio 2001 della commissione amministrativa della Fondazione __________ a favore della __________ è annullata; 1.2.   gli atti sono rinviati alla commissione amministrativa Fondazione __________ per nuova decisione. 2.   La tassa di giustizia di fr. 600.- è suddivisa in parti uguali fra la Fondazione __________ e la __________.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