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52.2001.156 vom 25. Oktober 2001</w:t>
      </w:r>
    </w:p>
    <w:p>
      <w:r>
        <w:t>TI Tribunale d'appello, 2001-10-25, IT</w:t>
      </w:r>
    </w:p>
    <w:p>
      <w:r>
        <w:rPr>
          <w:b/>
        </w:rPr>
        <w:t xml:space="preserve">Quelle: </w:t>
      </w:r>
      <w:r>
        <w:t>https://mcp.opencaselaw.ch/entscheid/ti_gerichte_52.2001.156</w:t>
      </w:r>
    </w:p>
    <w:p>
      <w:r>
        <w:t>FR: TI_GERICHTE 52.2001.156 du 25 octobre 2001</w:t>
      </w:r>
    </w:p>
    <w:p>
      <w:r>
        <w:t>IT: TI_GERICHTE 52.2001.156 del 25 ottobre 2001</w:t>
      </w:r>
    </w:p>
    <w:p>
      <w:pPr>
        <w:pStyle w:val="Heading2"/>
      </w:pPr>
      <w:r>
        <w:t>Volltext</w:t>
      </w:r>
    </w:p>
    <w:p>
      <w:r>
        <w:t>Incarto n.52.2001.00156</w:t>
      </w:r>
    </w:p>
    <w:p>
      <w:r>
        <w:t>Lugano</w:t>
      </w:r>
    </w:p>
    <w:p>
      <w:r>
        <w:t>25 ottobre 2001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  3/4 maggio 2001 della</w:t>
      </w:r>
    </w:p>
    <w:p>
      <w:r>
        <w:t>__________</w:t>
      </w:r>
    </w:p>
    <w:p>
      <w:r>
        <w:t>contro</w:t>
      </w:r>
    </w:p>
    <w:p>
      <w:r>
        <w:t>la decisione 24 aprile 2001 (n. 1917) del Consiglio di Stato che ha respinto il ricorso 26 febbraio 2001 dell'insorgente avverso la decisione 8 febbraio 2001 con cui il dipartimento del territorio ha rilasciato in suo favore un'autorizzazione per l'uso speciale del demanio pubblico cantonale in corrispondenza del mapp. __________ di __________ ed ha fissato le relative tasse;</w:t>
      </w:r>
    </w:p>
    <w:p>
      <w:r>
        <w:t>preso atto che il 18 ottobre 2001 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