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 vom 2. März 2001</w:t>
      </w:r>
    </w:p>
    <w:p>
      <w:r>
        <w:t>TI Tribunale d'appello, 2001-03-02, IT</w:t>
      </w:r>
    </w:p>
    <w:p>
      <w:r>
        <w:rPr>
          <w:b/>
        </w:rPr>
        <w:t xml:space="preserve">Quelle: </w:t>
      </w:r>
      <w:r>
        <w:t>https://mcp.opencaselaw.ch/entscheid/ti_gerichte_52.2001.14</w:t>
      </w:r>
    </w:p>
    <w:p>
      <w:r>
        <w:t>FR: TI_GERICHTE 52.2001.14 du 2 mars 2001</w:t>
      </w:r>
    </w:p>
    <w:p>
      <w:r>
        <w:t>IT: TI_GERICHTE 52.2001.14 del 2 marzo 2001</w:t>
      </w:r>
    </w:p>
    <w:p>
      <w:pPr>
        <w:pStyle w:val="Heading2"/>
      </w:pPr>
      <w:r>
        <w:t>Regeste</w:t>
      </w:r>
    </w:p>
    <w:p>
      <w:r>
        <w:t>Sentenza o decisione senza scheda</w:t>
      </w:r>
    </w:p>
    <w:p>
      <w:pPr>
        <w:pStyle w:val="Heading2"/>
      </w:pPr>
      <w:r>
        <w:t>Erwägungen</w:t>
      </w:r>
    </w:p>
    <w:p>
      <w:r>
        <w:rPr>
          <w:b/>
        </w:rPr>
        <w:t>E. 13</w:t>
      </w:r>
    </w:p>
    <w:p>
      <w:r>
        <w:t>giugno 2000 a dar seguito alla condizione della licenza relativa ai posteggi, __________ è insorta davanti al Consiglio di Stato, chiedendone l'annullamento e postulando l'imposizione di un contributo sostitutivo. Nella misura in cui era volta contro la condizione della licenza, può restare indecisa la questione a sapere se l'impugnativa fosse tempestiva ed eventualmente fondata. Ai fini del presente giudizio, è in effetti sufficiente rilevare che nella misura in cui aveva per oggetto l'ordine di ripristino impartitole il ricorso era fondato, poiché il municipio non aveva comunque titolo per ingiungerle di mettere effettivamente 7 posteggi a disposizione dello stabile dei figli al quale facevano difetto. Contrariamente a quanto assume il Consiglio di Stato, l'ordine in questione non si riduce ad una semplice e pertanto inoppugnabile decisione confermativa della condizione suddetta, ma si configura come un provvedimento volto ad esigere il ripristino di una situazione conforme al diritto materialmente applicabile. In quanto tale, esso presuppone l'esistenza, in capo alla sua destinataria, di un obbligo di dar seguito alla prestazione richiesta: presupposto, questo, che per i motivi esposti al precedente considerando non è dato. 4.   Sulla scorta delle considerazioni che precedono, il ricorso va pertanto accolto ai sensi dei considerandi, annullando la decisione governativa impugnata e la decisione 13 giugno 2000 con cui il municipio ha ordinato ad __________ di rendere operativa la clausola relativa ai posteggi contenuta nella licenza edilizia 18 luglio 1995 rilasciata ai figli. Resta riservata al municipio la facoltà di imporre a quest'ultimi un equivalente contributo sostitutivo. 5.   Dato l'esito, si prescinde dal prelievo di una tassa di giustizia. Le ripetibili vanno invece poste a carico del comune secondo soccombenza. Per questi motivi, visti gli art. 21 LE; 80 NAPR di __________; 3, 18, 28, 31, 60, 61, 65 PAmm; dichiara e pronuncia: 1.   Il ricorso è accolto come ai considerandi: §.  Di conseguenza, sono annullate: 1.1.   la decisione 13 dicembre 2000 del Consiglio di Stato (n. 5656); 1.2.   la decisione 13 giugno 2000 del municipio di __________. 2.   Non si prelevano né spese, né tassa di giustizia. 3.   Il comune di __________ rifonderà alla ricorrente fr. 900.--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