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52.2000.72 vom 17. September 2001</w:t>
      </w:r>
    </w:p>
    <w:p>
      <w:r>
        <w:t>TI Tribunale d'appello, 2001-09-17, IT</w:t>
      </w:r>
    </w:p>
    <w:p>
      <w:r>
        <w:rPr>
          <w:b/>
        </w:rPr>
        <w:t xml:space="preserve">Quelle: </w:t>
      </w:r>
      <w:r>
        <w:t>https://mcp.opencaselaw.ch/entscheid/ti_gerichte_52.2000.72</w:t>
      </w:r>
    </w:p>
    <w:p>
      <w:r>
        <w:t>FR: TI_GERICHTE 52.2000.72 du 17 septembre 2001</w:t>
      </w:r>
    </w:p>
    <w:p>
      <w:r>
        <w:t>IT: TI_GERICHTE 52.2000.72 del 17 settembre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amministrativo 17.09.2001 52.2000.72 Tessin Tribunale cantonale amministrativo 17.09.2001 52.2000.72 Ticino Tribunale cantonale amministrativo 17.09.2001 52.2000.72</w:t>
      </w:r>
    </w:p>
    <w:p>
      <w:r>
        <w:t>Sentenza o decisione senza scheda</w:t>
      </w:r>
    </w:p>
    <w:p>
      <w:r>
        <w:t>Incarto n. 52.2000.00072 Lugano 17 settembre 2001 In nome della Repubblica e Cantone del Ticino Il Tribunale cantonale amministrativo composto dei giudici: Lorenzo Anastasi, presidente, Raffaello Balerna, Stefano Bernasconi segretario: Leopoldo Crivelli statuendo sul ricorso 6 marzo 2000 del Comune di __________ contro la decisione 16 febbraio 2000 del Consiglio di Stato (no. 637) che annulla la licenza edilizia 4 marzo 1999 rilasciata dal municipio di __________ a __________ per la formazione di un terrapieno fuori della zona edificabile (part. n. __________ RFD); viste le risposte: -    24 marzo 2000 di __________; -    29 marzo 2000 del Consiglio di Stato; -    31 marzo 2000 dell'Ufficio delle domande di costruzione e dell'esame di impatto ambientale; -    10 aprile 2000 di __________; letti ed esaminati gli atti; ritenuto, in fatto -   che nel corso degli anni 80 __________ ha formato, senza alcun permesso, un terrapieno di circa 300 mc su un fondo (part. no. __________ RFD), situato a __________, in località __________, fuori della zona edificabile; -   che, sollecitata dal municipio, il 31 dicembre 1998 __________ ha chiesto al municipio il rilascio di un permesso in sanatoria; -   che alla domanda si sono opposti il Dipartimento del territorio e la vicina __________, proprietaria della part. n. __________ RFD; -   che disattendendo l'avviso cantonale, il 4 marzo 1999 il municipio ha rilasciato la licenza richiesta, respingendo le opposizioni; -   che con giudizio 16 febbraio 2000 il Consiglio di Stato ha annullato il provvedimento, accogliendo i ricorsi contro di esso inoltrati dal Dipartimento del territorio e dalla vicina opponente; -   che il Governo ha in sostanza ritenuto insoddisfatti i presupposti dell'art. 24 cpv. 1 LPT; -   che contro il predetto giudizio governativo è insorto davanti al Tribunale Cantonale amministrativo il comune di __________, chiedendo il ripristino della licenza annullata; -   che l'insorgente sottolinea l'esiguità dell'intervento, sollecitando una soluzione secondo il buon senso; -   che il ricorso è avversato dal Consiglio di Stato e dalla __________, mentre __________ ne postula l'accoglimento; considerato, in diritto -   che la competenza del Tribunale cantonale amministrativo è data dall'art. 21 LE; -   che al Comune va per contro negata la legittimazione a ricorrere, considerato come la beneficiaria della licenza annullata abbia rinunciato ad impugnare il giudizio governativo a lei sfavorevole per sollecitarne il ripristino (RDAT 1990, no. 44, Scolari, Commentario, II. ed. ad art. 21 LE no. 957); -   che, dato l'esito, si prescinde dal prelievo di una tassa di giudizio; -   che le ripetibili seguono invece la soccombenza. Per questi motivi, visti gli art. 24 LTP; 21 LE; 3, 18, 28, 31, 60, 61 PAmm; dichiara e pronuncia: 1.   Il ricorso è irricevibile. 2.   Non si preleva tassa di giudizio. 3.   Il comune di __________ rifonderà alla resistente __________ fr. 300.-- a titolo di ripetibili. 4.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