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52.2000.59 vom 20. Juni 2000</w:t>
      </w:r>
    </w:p>
    <w:p>
      <w:r>
        <w:t>TI Tribunale d'appello, 2000-06-20, IT</w:t>
      </w:r>
    </w:p>
    <w:p>
      <w:r>
        <w:rPr>
          <w:b/>
        </w:rPr>
        <w:t xml:space="preserve">Quelle: </w:t>
      </w:r>
      <w:r>
        <w:t>https://mcp.opencaselaw.ch/entscheid/ti_gerichte_52.2000.59</w:t>
      </w:r>
    </w:p>
    <w:p>
      <w:r>
        <w:t>FR: TI_GERICHTE 52.2000.59 du 20 juin 2000</w:t>
      </w:r>
    </w:p>
    <w:p>
      <w:r>
        <w:t>IT: TI_GERICHTE 52.2000.59 del 20 giugno 2000</w:t>
      </w:r>
    </w:p>
    <w:p>
      <w:pPr>
        <w:pStyle w:val="Heading2"/>
      </w:pPr>
      <w:r>
        <w:t>Regeste</w:t>
      </w:r>
    </w:p>
    <w:p>
      <w:r>
        <w:t>Sentenza o decisione senza scheda</w:t>
      </w:r>
    </w:p>
    <w:p>
      <w:pPr>
        <w:pStyle w:val="Heading2"/>
      </w:pPr>
      <w:r>
        <w:t>Erwägungen</w:t>
      </w:r>
    </w:p>
    <w:p>
      <w:r>
        <w:rPr>
          <w:b/>
        </w:rPr>
        <w:t>E. 1</w:t>
      </w:r>
    </w:p>
    <w:p>
      <w:r>
        <w:t>LCStr; 33 cpv. 2 OAC). La durata del provvedimento non può essere inferiore a un mese se la licenza deve essere revocata a causa di un'infrazione che ha compromesso gravemente la sicurezza della circolazione stradale (cfr. art. 16 cpv. 3 lett. a; 17 cpv. 1 lett. c LCStr) e dev'essere di almeno sei mesi se la licenza va revocata a causa di un'infrazione commessa entro due anni dalla scadenza dell'ultima revoca (art. 17 cpv. 1 lett. c). 4.   Secondo costante giurisprudenza del Tribunale federale, un superamento di 30 km/h della velocità massima consentita comporta la possibilità di revoca della licenza di condurre anche quando le condizioni della circolazione erano come nel caso concreto favorevoli e la reputazione del conducente buona (DTF 119 Ib 154 consid. 2a; 113 Ib 143 consid. 3c; 108 Ib 65 consid. 1).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145 consid. 2a; 118 IV 188 consid. 2b). Nel caso in esame, il ricorrente ha superato di 53 km/h la velocità massima consentita. Egli ha dunque gravemente compromesso la sicurezza della circolazione e la sua licenza di condurre deve pertanto essere obbligatoriamente revocata. 5.   5.1. Il Tribunale federale ha già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In particolare l'autorità amministrativa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5.2. Nel caso di specie il ricorrente ben sapeva che l'infrazione commessa avrebbe comportato l'adozione di una misura di revoca della licenza di condurre. Infatti già il 16 novembre 1999 egli era stato avvertito dalla Sezione della circolazione che nei suoi confronti erano dati gli estremi per procedere con l'adozione di tale misura. Il 17 dicembre 1999 l'autorità dipartimentale gli ha inflitto una multa per violazione dei limiti di velocità. Considerato che __________ non ha impugnato presso le istanze superiori la decisione di multa, essa è cresciuta in giudicato. Pertanto alla luce della citata giurisprudenza, in questa sede, irrilevanti i motivi per i quali egli non ha presentato ricorso contro la risoluzione di multa, gli è preclusa ogni possibilità di mettere nuovamente in discussione sia i fatti in oggetto, sia l'apprezzamento giuridico degli stessi da parte dell'autorità dipartimentale. Per evidenti ragioni di unità di giudizio questo tribunale è vincolato al giudizio di condanna pronunciato dalla Sezione della circolazione. 6.   6.1. L'insorgente allega di avere una necessità professionale di disporre della licenza di condurre. L'Esecutivo cantonale, come già evidenziato, senza esperire alcun accertamento in proposito, ha negato l'esistenza di tale necessità. 6.2.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6.3. __________ è amministratore unico e lavora presso la società __________, ditta che si occupa della produzione e del commercio di prodotti per l'igiene, attrezzature e macchine per le pulizie. Il personale della ditta si compone di quattro persone: il ricorrente, capo consulente alle vendite (viaggiatore di commercio/dimostratore), un viaggiatore di commercio, un impiegato ed un magazziniere (cfr. dichiarazione 6 aprile 2000 della società __________). Nella sua professione __________ è quindi obbligato a spostarsi in luoghi diversi con un autoveicolo privato. L'uso dei mezzi pubblici o di un motoveicolo, deve invece essere escluso, ritenuto che renderebbe oltremodo difficoltoso, rispettivamente impossibile il trasporto della merce. Neppure è ipotizzabile, in considerazione del basso numero di dipendenti della società, che l'insorgente, per un periodo relativamente lungo, possa venire sostituito o accompagnato da un collega nello svolgimento delle proprie incombenze, senza ripercussioni di ordine finanziario sulla ditta. In particolare, vi sarebbe il rischio concreto di un rallentamento del lavoro e notevoli difficoltà nell'acquisizione di nuovi clienti, cui si potrebbe ovviare con l'assunzione temporanea di un altro dipendente. Ciò che comporterebbe una perdita di guadagno, rispettivamente un aumento dei costi per la ditta stessa. In siffatte circostanze, tenuto conto che l'unico precedente di __________ risale al 1994, questo tribunale ritiene eccessiva la privazione della licenza di condurre per un periodo di 1 mese e mezzo. Tenuto conto della gravità dell'infrazione, della colpa effettiva, del bisogno professionale della licenza di condurre, nonché del fatto che l'unico precedente di __________ risale al 1994, questo tribunale ritiene proporzionato ed adeguato alla fattispecie un periodo di revoca della durata di un mese. 7.   Sulla scorta di quanto precede, il ricorso deve pertanto essere parzialmente accolto. La tassa di giustizia e le spese di prima e seconda istanza sono compensate, con la riduzione che dovrebbe essere apportata alla tassa applicata in prima istanza. Per questi motivi, visti gli art. 6 CEDU; 16 cpv. 2 e 3, 17 LCStr; 4a ONC; 30, 33 OAC; 10 LALCStr; 1 e ss. PAmm; dichiara e pronuncia: 1.   Il ricorso è parzialmente accolto. §.  Di conseguenza, la decisione 9 febbraio 2000, n. 553, del Consiglio di Stato è annullata e riformata come segue: "1.  Il ricorso è parzialmente accolto. §   Ad __________, è revocata la licenza di condurre per la durata di un mese. 2.    E' messa a carico del ricorrente una tassa di giudizio di fr. 350--." 2.   Non si prelevano né tasse né spese.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