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52.2000.30 vom 21. März 2001</w:t>
      </w:r>
    </w:p>
    <w:p>
      <w:r>
        <w:t>TI Tribunale d'appello, 2001-03-21, IT</w:t>
      </w:r>
    </w:p>
    <w:p>
      <w:r>
        <w:rPr>
          <w:b/>
        </w:rPr>
        <w:t xml:space="preserve">Quelle: </w:t>
      </w:r>
      <w:r>
        <w:t>https://mcp.opencaselaw.ch/entscheid/ti_gerichte_52.2000.30</w:t>
      </w:r>
    </w:p>
    <w:p>
      <w:r>
        <w:t>FR: TI_GERICHTE 52.2000.30 du 21 mars 2001</w:t>
      </w:r>
    </w:p>
    <w:p>
      <w:r>
        <w:t>IT: TI_GERICHTE 52.2000.30 del 21 marzo 2001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marzo 2001 In nome della Repubblica e Cantone del Ticino Il presidente del Tribunale cantonale amministrativo Lorenzo Anastasi assistito dal segretario: Leopoldo Crivelli statuendo sui ricorsi a)</w:t>
      </w:r>
    </w:p>
    <w:p>
      <w:r>
        <w:rPr>
          <w:b/>
        </w:rPr>
        <w:t>E. 26</w:t>
      </w:r>
    </w:p>
    <w:p>
      <w:r>
        <w:t>gennaio 2000 di __________; 2.   La __________ ritira il ricorso 9 febbraio 2000; 3.   I ricorsi sono stralciati dai ruoli senza spese e senza assegnazione di ripetibili; 4.   Il Dipartimento del territorio abbandona i procedimenti contravvenzionali pendenti in relazione alle insegne in oggetto"; preso atto che il 5 marzo 2001, la patrocinatrice delle ricorrenti e l'8 marzo 2001 il Dipartimento del territorio, hanno aderito alla proposta di cui sopra; considerato pertanto che il procedimento è così esaurito; decreta: 1.   I ricorsi sono stralciati dai ruoli per intervenuta transazione. 2.   Non si prelevano né tasse, né spese. Non si assegnano ripetibili. 3.   Intimazione a: __________ Il presidente del Tribunale cantonale amministrativo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