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52.2000.295 vom 26. März 2001</w:t>
      </w:r>
    </w:p>
    <w:p>
      <w:r>
        <w:t>TI Tribunale d'appello, 2001-03-26, IT</w:t>
      </w:r>
    </w:p>
    <w:p>
      <w:r>
        <w:rPr>
          <w:b/>
        </w:rPr>
        <w:t xml:space="preserve">Quelle: </w:t>
      </w:r>
      <w:r>
        <w:t>https://mcp.opencaselaw.ch/entscheid/ti_gerichte_52.2000.295</w:t>
      </w:r>
    </w:p>
    <w:p>
      <w:r>
        <w:t>FR: TI_GERICHTE 52.2000.295 du 26 mars 2001</w:t>
      </w:r>
    </w:p>
    <w:p>
      <w:r>
        <w:t>IT: TI_GERICHTE 52.2000.295 del 26 marzo 2001</w:t>
      </w:r>
    </w:p>
    <w:p>
      <w:pPr>
        <w:pStyle w:val="Heading2"/>
      </w:pPr>
      <w:r>
        <w:t>Regeste</w:t>
      </w:r>
    </w:p>
    <w:p>
      <w:r>
        <w:t>Sentenza o decisione senza scheda</w:t>
      </w:r>
    </w:p>
    <w:p>
      <w:pPr>
        <w:pStyle w:val="Heading2"/>
      </w:pPr>
      <w:r>
        <w:t>Erwägungen</w:t>
      </w:r>
    </w:p>
    <w:p>
      <w:r>
        <w:rPr>
          <w:b/>
        </w:rPr>
        <w:t>E. 4</w:t>
      </w:r>
    </w:p>
    <w:p>
      <w:r>
        <w:t>Il ricorso deve pertanto essere respinto. Il comune, che è proprietario cointeressato nel piano di quartiere, non può essere sollevato dal pagamento della tassa di giudizio (art. 28 PAmm). Esso non può inoltre nemmeno sfuggire all'obbligo di rifondere adeguate ripetibili ai resistenti, assistiti da un legale (art. 31 PAmm). Per questi motivi, visti gli art. 8, 21 LE, 56 LALPT, 3, 18, 28, 31 PAmm; dichiara e pronuncia: 1.   Il ricorso è respinto. 2.   La tassa di giudizio, di fr. 500.--, è posta a carico del comune di __________, il quale è condannato a versare a __________ e __________ identico importo per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