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52.2000.283 vom 4. Dezember 2000</w:t>
      </w:r>
    </w:p>
    <w:p>
      <w:r>
        <w:t>TI Tribunale d'appello, 2000-12-04, IT</w:t>
      </w:r>
    </w:p>
    <w:p>
      <w:r>
        <w:rPr>
          <w:b/>
        </w:rPr>
        <w:t xml:space="preserve">Quelle: </w:t>
      </w:r>
      <w:r>
        <w:t>https://mcp.opencaselaw.ch/entscheid/ti_gerichte_52.2000.283</w:t>
      </w:r>
    </w:p>
    <w:p>
      <w:r>
        <w:t>FR: TI_GERICHTE 52.2000.283 du 4 décembre 2000</w:t>
      </w:r>
    </w:p>
    <w:p>
      <w:r>
        <w:t>IT: TI_GERICHTE 52.2000.283 del 4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04.12.2000 52.2000.283 Tessin Tribunale cantonale amministrativo 04.12.2000 52.2000.283 Ticino Tribunale cantonale amministrativo 04.12.2000 52.2000.283</w:t>
      </w:r>
    </w:p>
    <w:p>
      <w:r>
        <w:t>Sentenza o decisione senza scheda</w:t>
      </w:r>
    </w:p>
    <w:p>
      <w:r>
        <w:t>Incarto n. 52.2000.00283 Lugano 4 dicembre 2000 In nome della Repubblica e Cantone del Ticino Il Tribunale cantonale amministrativo composto dei giudici: Lorenzo Anastasi, presidente, Raffaello Balerna, Stefano Bernasconi segretario: Leopoldo Crivelli statuendo sul ricorso 2 novembre 2000 di __________ contro la decisione 17 ottobre 2000 del Consiglio di Stato (no. 4506) che annulla la decisione 14 giugno 2000 con cui il municipio di __________ gli ha negato il permesso di vendere come residenza secondaria un rustico situato nella zona del nucleo (part. no. __________ RF); viste le risposte: -      8 novembre 2000 del comune di __________; -    14 novembre 2000 del Consiglio di Stato; letti ed esaminati gli atti; ritenuto, in fatto che il 18 aprile 2000 il ricorrente __________ ha chiesto al municipio di __________ il permesso di vendere come residenza secondaria un rustico situato nella zona del nucleo (part. n. __________ RF), che da oltre dieci anni è utilizzato come residenza primaria; che con decisione 14 giugno 2000 l'autorità comunale ha respinto la domanda, ritenendola in contrasto con le norme di PR che limitano l'insediamento di residenze secondarie; che con giudizio 17 ottobre 2000 il Consiglio di Stato ha annullato il provvedimento, accogliendo il ricorso contro di esso inoltrato da __________; che nei considerandi del giudizio, il Governo ha rilevato che il rustico poteva essere venduto a chiunque; determinante sarebbe stato esclusivamente l'uso che ne sarebbe stato fatto; uso, che avrebbe comunque dovuto rimanere di natura residenziale primaria; che __________ impugna il predetto giudizio davanti al Tribunale cantonale amministrativo, chiedendo che venga autorizzato l'uso residenziale secondario; che il ricorso è avversato dal Consiglio di Stato, mentre il municipio di __________ rinuncia a presentare osservazioni; considerato, in diritto che la competenza del Tribunale cantonale amministrativo è data dall'art. 21 LE; che all'insorgente va negata la legittimazione attiva; egli ha infatti chiesto ed ottenuto l'annullamento della decisione municipale impugnata; considerato che i motivi della decisione non crescono in giudicato formale, non è quindi gravato dalla risoluzione governativa in esame; che già per questo motivo, il ricorso, di per sé tempestivo, va respinto siccome irricevibile; che ad ogni buon conto va rilevato che richieste come quella inoltrata dal ricorrente al municipio di __________ configurano domande di costruzione per cambiamento di destinazione: esse vanno quindi proposte, esaminate e decise secondo la procedura di rilascio del permesso di costruzione; procedura che in concreto è stata completamente ignorata e che dovrà essere promossa dal ricorrente, qualora intenda conseguire l'autorizzazione in questione; che la tassa di giustizia segue la soccombenza; Per questi motivi, visti gli art. 21 LE; 3, 18, 28, 31, 60, 61 PAmm; dichiara e pronuncia: 1.   Il ricorso è irricevibile. 2.   La tassa di giustizia di fr. 200.-- è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