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52.2000.267 vom 14. Dezember 2000</w:t>
      </w:r>
    </w:p>
    <w:p>
      <w:r>
        <w:t>TI Tribunale d'appello, 2000-12-14, IT</w:t>
      </w:r>
    </w:p>
    <w:p>
      <w:r>
        <w:rPr>
          <w:b/>
        </w:rPr>
        <w:t xml:space="preserve">Quelle: </w:t>
      </w:r>
      <w:r>
        <w:t>https://mcp.opencaselaw.ch/entscheid/ti_gerichte_52.2000.267</w:t>
      </w:r>
    </w:p>
    <w:p>
      <w:r>
        <w:t>FR: TI_GERICHTE 52.2000.267 du 14 décembre 2000</w:t>
      </w:r>
    </w:p>
    <w:p>
      <w:r>
        <w:t>IT: TI_GERICHTE 52.2000.267 del 14 dicembre 2000</w:t>
      </w:r>
    </w:p>
    <w:p>
      <w:pPr>
        <w:pStyle w:val="Heading2"/>
      </w:pPr>
      <w:r>
        <w:t>Regeste</w:t>
      </w:r>
    </w:p>
    <w:p>
      <w:r>
        <w:t>Sentenza o decisione senza scheda</w:t>
      </w:r>
    </w:p>
    <w:p>
      <w:pPr>
        <w:pStyle w:val="Heading2"/>
      </w:pPr>
      <w:r>
        <w:t>Erwägungen</w:t>
      </w:r>
    </w:p>
    <w:p>
      <w:r>
        <w:rPr>
          <w:b/>
        </w:rPr>
        <w:t>E. 1</w:t>
      </w:r>
    </w:p>
    <w:p>
      <w:r>
        <w:t>LCStr; 33 cpv. 2 OAC). La durata del provvedimento non può essere inferiore a un mese se la licenza deve essere revocata a causa di un'infrazione che ha compromesso gravemente la sicurezza della circolazione stradale (cfr. art. 16 cpv. 3 lett. a; 17 cpv. 1 lett. c LCStr) e dev'essere di almeno sei mesi se la licenza va revocata a causa di un'infrazione commessa entro due anni dalla scadenza dell'ultima revoca (art. 17 cpv. 1 lett. c). 4.   4.1. Secondo costante giurisprudenza del Tribunale federale, un superamento di 30 km/h della velocità massima consentita comporta la possibilità di revoca della licenza di condurre anche quando le condizioni della circolazione sono favorevoli e la reputazione del conducente buona (DTF 119 Ib 154 consid. 2a; 113 Ib 143 consid. 3c; 108 Ib 65 consid. 1). Qualora venga accertato un superamento superiore a 30 km/h del limite di velocità, le competenti autorità cantonali sono obbligate a revocare la licenza di condurre giusta l'art. 16 cpv. 3 lett. a LCStr senza alcun riguardo alle concrete circostanze del caso (DTF 124 II 476 consid. 2; 119 Ib 145 consid. 2a; 118 IV 188 consid. 2b). 4.2. Nel caso in esame, la ricorrente ha superato di 44 km/h la velocità massima consentita. Essa ha dunque gravemente compromesso la sicurezza della circolazione e la sua licenza di condurre deve pertanto essere obbligatoriamente revocata. La colpa della ricorrente è indubbiamente grave, a maggior ragione se si considera che non è la prima volta che viene sanzionato per eccesso di velocità. In particolare, essa è recidiva ai sensi dell'art. 17 cpv. 1 lett. c LCStr, avendo superato il limite di velocità a poco più di un anno e mezzo dalla scadenza della precedente revoca della patente. 5.   In concreto __________ si limita a contestare l'accertamento dei fatti avvenuto in sede penale, nella misura in cui non è stato tenuto conto del fatto che il tachimetro della sua automobile indicava una velocità inferiore a quella effettiva. 5.1. Il Tribunale federale ha già avuto modo di precisare che ove esista a carico dell'interessato un procedimento penale, l'autorità amministrativa è tenuta, in linea di principio, a soprassedere alla propria decisione sino a che sia intervenuta una decisione penale passata in giudicato, nella misura in cui l'accertamento dei fatti del comportamento litigioso sia rilevante nel quadro del procedimento amministrativo (DTF 119 Ib 158 consid. 2). L'alta Corte federale ha altresì sottolineato in DTF 121 II 217 consid. 3a, che l'autorità amministrativa competente ad ordinare la revoca della licenza di condurre non può di principio scostarsi dagli accertamenti contenuti in una decisione penale cresciuta in giudicato. In particolare l'autorità amministrativa deve attenersi alle risultanze del giudizio penale anche nel caso in cui quest'ultimo sia stato emanato nell'ambito di una procedura sommaria, segnatamente ove la decisione penale si basi essenzialmente sul rapporto di contravvenzione allestito da un agente di polizia. Ciò è il caso, in particolare, laddove l'interessato sapeva o, vista la gravità dell'infrazione rimproveratagli, doveva prevedere che nei suoi confronti si sarebbe fatto luogo anche ad un procedimento concernente la revoca della licenza di condurre e ciononostante ha omesso di far valere nell'ambito del procedimento penale i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5.2. Nel caso di specie la ricorrente ben sapeva che l'infrazione commessa avrebbe comportato l'adozione di una misura di revoca della licenza di condurre. Infatti già il 9 maggio 2000 essa era stata avvertita dalla Sezione della circolazione che nei suoi confronti erano dati gli estremi per procedere con l'adozione di tale misura. Il 23 giugno 2000 la competente autorità del Canton Grigioni le ha inflitto una multa per violazione dei limiti di velocità. Considerato che __________ ha rinunciato ad impugnare la decisione penale davanti alle istanze superiori, essa è cresciuta in giudicato. Pertanto alla luce della citata giurisprudenza le è preclusa ogni possibilità di mettere nuovamente in discussione sia i fatti in oggetto, sia l'apprezzamento giuridico degli stessi da parte dell'autorità penale. Per evidenti ragioni di unità di giudizio questo tribunale è vincolato al giudizio di condanna pronunciato dal Presidente di circolo di Roveredo. 6.   Tenuto conto della gravità dell'infrazione commessa da __________, della colpa che le è imputabile per l'accaduto e della reputazione di cui gode quale conducente (art. 33 cpv. 2 OAC), la durata del provvedimento di revoca pronunciato nei suoi confronti, di una durata corrispondente al minimo legale, appare del tutto conforme al diritto e alla prassi normalmente adottata dai tribunali svizzeri, nonché rispettoso del principio della proporzionalità (R. Schaffhauser, Grundriss des schweizerischen Strassenverkehrsrechts, n. 2458). 7.   Stante tutto quanto precede, il ricorso va respinto. La tassa di giustizia e le spese seguono la soccombenza (art. 28 PAmm). Per questi motivi, visti gli art. 6 CEDU; 16 cpv. 2 e 3, 17 LCStr; 4a ONC; 30, 33 OAC; 10 LALCStr; 1 e ss. PAmm; dichiara e pronuncia: 1.   Il ricorso è respinto. 2.   La tassa di giustizia e le spese per complessivi fr. 800.-- sono poste a carico della ricorrente. 3.   Contro questa decisione, nella misura in cui è fondata sul diritto pubblico federale,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