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52.2000.26 vom 28. September 2000</w:t>
      </w:r>
    </w:p>
    <w:p>
      <w:r>
        <w:t>TI Tribunale d'appello, 2000-09-28, IT</w:t>
      </w:r>
    </w:p>
    <w:p>
      <w:r>
        <w:rPr>
          <w:b/>
        </w:rPr>
        <w:t xml:space="preserve">Quelle: </w:t>
      </w:r>
      <w:r>
        <w:t>https://mcp.opencaselaw.ch/entscheid/ti_gerichte_52.2000.26</w:t>
      </w:r>
    </w:p>
    <w:p>
      <w:r>
        <w:t>FR: TI_GERICHTE 52.2000.26 du 28 septembre 2000</w:t>
      </w:r>
    </w:p>
    <w:p>
      <w:r>
        <w:t>IT: TI_GERICHTE 52.2000.26 del 28 settembre 2000</w:t>
      </w:r>
    </w:p>
    <w:p>
      <w:pPr>
        <w:pStyle w:val="Heading2"/>
      </w:pPr>
      <w:r>
        <w:t>Volltext</w:t>
      </w:r>
    </w:p>
    <w:p>
      <w:r>
        <w:t>Incarto n.52.2000.00026</w:t>
      </w:r>
    </w:p>
    <w:p>
      <w:r>
        <w:t>Lugano</w:t>
      </w:r>
    </w:p>
    <w:p>
      <w:r>
        <w:t>28 settembre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17 gennaio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14 dicembre 1999 del Consiglio di Stato (n. 5383) che respinge l'impugnativa presentata dall'insorgente avverso la licenza edilizia 27 aprile 1999 rilasciata dal municipio di __________ a __________ per il prolungamento di una strada privata sulla part. n. __________ RFD;</w:t>
      </w:r>
    </w:p>
    <w:p>
      <w:r>
        <w:t>preso atto che il 27 settembre 2000 il patrocinatore della ricorrente ha comunicato di ritirare il ricorso e chiesto lo stralcio della procedura senza spese compensate le ripetibili come alla convenzione versata agli atti;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