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52.2000.250 vom 20. November 2000</w:t>
      </w:r>
    </w:p>
    <w:p>
      <w:r>
        <w:t>TI Tribunale d'appello, 2000-11-20, IT</w:t>
      </w:r>
    </w:p>
    <w:p>
      <w:r>
        <w:rPr>
          <w:b/>
        </w:rPr>
        <w:t xml:space="preserve">Quelle: </w:t>
      </w:r>
      <w:r>
        <w:t>https://mcp.opencaselaw.ch/entscheid/ti_gerichte_52.2000.250</w:t>
      </w:r>
    </w:p>
    <w:p>
      <w:r>
        <w:t>FR: TI_GERICHTE 52.2000.250 du 20 novembre 2000</w:t>
      </w:r>
    </w:p>
    <w:p>
      <w:r>
        <w:t>IT: TI_GERICHTE 52.2000.250 del 20 novembre 2000</w:t>
      </w:r>
    </w:p>
    <w:p>
      <w:pPr>
        <w:pStyle w:val="Heading2"/>
      </w:pPr>
      <w:r>
        <w:t>Regeste</w:t>
      </w:r>
    </w:p>
    <w:p>
      <w:r>
        <w:t>Sentenza o decisione senza scheda</w:t>
      </w:r>
    </w:p>
    <w:p>
      <w:pPr>
        <w:pStyle w:val="Heading2"/>
      </w:pPr>
      <w:r>
        <w:t>Erwägungen</w:t>
      </w:r>
    </w:p>
    <w:p>
      <w:r>
        <w:rPr>
          <w:b/>
        </w:rPr>
        <w:t>E. 1</w:t>
      </w:r>
    </w:p>
    <w:p>
      <w:r>
        <w:t>lett. a LCStr). 3.   3.1. __________ contesta gli accertamenti esperiti in sede penale, rilevando nel contempo che la Sezione della circolazione ha emanato il provvedimento di revoca senza attendere la crescita in giudicato del giudizio penale, seppure sussistessero dubbi in merito alla pretesa violazione di norme della circolazione stradale. 3.2. Il Tribunale federale ha già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In particolare l'autorità amministrativa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3.3. Nel caso di specie il ricorrente ben sapeva che l'infrazione commessa avrebbe comportato l'adozione di una misura di revoca della licenza di condurre. Infatti già il 12 aprile 2000 egli era stato avvertito dalla Sezione della circolazione che nei suoi confronti erano dati gli estremi per procedere con l'adozione di tale misura. Il 14 luglio 2000 il giudice delegato per le contravvenzioni del Tribunale cantonale amministrativo ha confermato la multa di fr. 1'000.--. Considerato che __________ ha rinunciato ad impugnare al Tribunale federale la suddetta decisione, essa è cresciuta in giudicato. Così facendo egli ne ha quindi implicitamente riconosciuto come esatto il contenuto, motivo per il quale, alla luce della citata giurisprudenza, non può più in questa sede mettere in discussione i fatti in oggetto, né tantomeno l'apprezzamento giuridico degli stessi operato dall'autorità penale. Per evidenti ragioni di unità di giudizio questo tribunale è vincolato al giudizio di condanna pronunciato dal giudice delegato per le contravvenzioni del Tribunale cantonale amministrativo, il quale non ha rinvenuto nel caso in oggetto alcun elemento che potesse giustificare l'abbandono del procedimento contravvenzionale. 4.   Il provvedimento che dispone della revoca della licenza di condurre a scopo di ammonimento riveste il carattere di una decisione sulla fondatezza di un'accusa penale ai sensi dell'art. 6 cpv. 1 CEDU (DTF 121 II 26, consid. 3b). In virtù di tale norma, sia in ambito penale che nell'ambito dei procedimenti amministrativi aventi carattere penale, l'autorità giudicante deve potere giudicare con pieno potere cognitivo. Anche la commisurazione della pena e della sanzione soggiace a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pertanto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26.9.1996 in re C.) 5.   5.1. Gli estremi per la revoca della licenza di condurre a scopo di sanzione secondo l’art. 16 cpv. 2 LCStr sono dati quando il conducente di un veicolo a motore si rende colpevole di una violazione delle regole della circolazione tale da creare un accresciuto pericolo (anche solo astratto) per la sicurezza del traffico o di terzi (R. Schaffhauser, Grundriss des schweizerischen Strassenverkehrsrechts, vol. III, pag. 159 ss.). Sapere se in una ben precisa fattispecie il comportamento del conducente di un veicolo abbia dato luogo ad una situazione di accresciuto pericolo astratto o meno, non dipende dal genere di norme della circolazione violate, bensì dalle circostanze di fatto che caratterizzano il singolo caso concreto. Vi è da ammettere l'esistenza di una situazione di rischio astratto accresciuto allorquando sussiste la possibilità di una imminente messa in pericolo concreta o di un infortunio (DTF 118 IV 285 ss.; JdT 1989 pag. 671, 1990 pag. 669; 1993 pag. 689). 5.2. Preliminarmente, va evidenziato che, contrariamente a quanto sostenuto dal ricorrente, un'eventuale necessità di disporre della licenza di condurre per motivi professionali, è irrilevante ai fini della determinazione della misura amministrativa da adottare, revoca o ammonimento. Per contro, essa deve essere valutata nell'ambito della determinazione della durata del periodo di revoca. Dalla documentazione agli atti risulta che il ricorrente si è negligentemente spostato a sinistra della linea di sicurezza collidendo con un autoveicolo proveniente in senso inverso, ha proseguito per alcuni metri, fermandosi a pochi centimetri da un'altra automobile, che notata la manovra si era a sua volta fermata, ed in seguito ha inserito la retromarcia portandosi sulla corsia normale di marcia, abbandonando il luogo del sinistro senza osservare i doveri imposti dalla legge. Non vi è quindi dubbio che egli ha concretamente messo in pericolo la sicurezza della circolazione. In siffatte circostanze ben si giustifica l'applicazione nei suoi confronti di un provvedimento retto dall'art. 16 cpv. 2 LCStr. Viste le infrazioni commesse e la colpa imputabile ad __________, quello in esame non può certo essere considerato come un semplice caso di lieve entità ai sensi dell'art. 16 cpv. 2 ultimo periodo LCStr. Il provvedimento di revoca della licenza di condurre deve quindi essere confermato. 6.   6.1. __________, responsabile della conduzione della __________ di __________, sostiene di avere "un bisogno professionale accresciuto" di disporre della licenza di condurre. 6.2.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6.3. Per __________ la necessità della licenza di condurre per motivi professionali è ben lungi dall'essere assoluta ai sensi della giurisprudenza invalsa in materia. In particolare, la situazione dell'insorgente non è certamente paragonabile a quella di chi perderebbe altrimenti la possibilità di conseguire l'intero reddito, o una parte essenziale dello stesso, come potrebbe essere ad esempio il caso di un autista professionale. Il ricorrente sostiene in particolare che, quale responsabile della __________ di __________, egli necessita della propria autovettura per i trasferimenti dalla propria abitazione di __________ al luogo di lavoro e viceversa, rispettivamente per recarsi a fare acquisti dai principali fornitori di derrate alimentari a __________. In quanto da lui esposto, alla luce della citata giurisprudenza, si possono dunque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ovviati, facendo capo per gli spostamenti all'aiuto di conoscenti, famigliari o di altri dipendenti dell'esercizio pubblico. 7.   Tenuto conto della gravità dell'infrazione commessa da __________, della colpa che gli è imputabile per l'accaduto, dell'ottima reputazione di cui gode quale conducente e del fatto che non può invocare una necessità professionale di guidare veicoli a motore (art. 33 cpv. 2 OAC), la durata del provvedimento di revoca pronunciato nei suoi confronti di appare del tutto conforme al diritto e alla prassi normalmente adottata dai tribunali svizzeri (R. Schaffhauser, Grundriss des schweizerischen Strassenverkehrsrechts, n. 2458). Fissando la durata della revoca ad un mese la Sezione della circolazione si è del resto attenuta al minimo legale imposto dall'art. 17 cpv. 1 lett. a LCStr. Stante quanto precede il ricorso deve essere respinto. La tassa di giustizia e le spese seguono la soccombenza (art. 28 PAmm). Per questi motivi, visti gli art. 6 CEDU; 4 Cost; 16 cpv. 2 e 17 cpv. 1 lett. a LCStr; 10 LALCStr; 3 cpv. 1 e 33 cpv. 2 OAC; 1 ss. PAmm; dichiara e pronuncia: 1.   Il ricorso è respinto. 2.   La tassa di giustizia e le spese di complessivi fr. 800.-- sono poste a carico del ricorrente. 3.   Contro questa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