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52.2000.225 vom 5. März 2001</w:t>
      </w:r>
    </w:p>
    <w:p>
      <w:r>
        <w:t>TI Tribunale d'appello, 2001-03-05, IT</w:t>
      </w:r>
    </w:p>
    <w:p>
      <w:r>
        <w:rPr>
          <w:b/>
        </w:rPr>
        <w:t xml:space="preserve">Quelle: </w:t>
      </w:r>
      <w:r>
        <w:t>https://mcp.opencaselaw.ch/entscheid/ti_gerichte_52.2000.225</w:t>
      </w:r>
    </w:p>
    <w:p>
      <w:r>
        <w:t>FR: TI_GERICHTE 52.2000.225 du 5 mars 2001</w:t>
      </w:r>
    </w:p>
    <w:p>
      <w:r>
        <w:t>IT: TI_GERICHTE 52.2000.225 del 5 marzo 2001</w:t>
      </w:r>
    </w:p>
    <w:p>
      <w:pPr>
        <w:pStyle w:val="Heading2"/>
      </w:pPr>
      <w:r>
        <w:t>Regeste</w:t>
      </w:r>
    </w:p>
    <w:p>
      <w:r>
        <w:t>Sentenza o decisione senza scheda</w:t>
      </w:r>
    </w:p>
    <w:p>
      <w:pPr>
        <w:pStyle w:val="Heading2"/>
      </w:pPr>
      <w:r>
        <w:t>Erwägungen</w:t>
      </w:r>
    </w:p>
    <w:p>
      <w:r>
        <w:rPr>
          <w:b/>
        </w:rPr>
        <w:t>E. 3</w:t>
      </w:r>
    </w:p>
    <w:p>
      <w:r>
        <w:t>LCStr). Il periodo di prova fissato nell'ambito di una revoca a scopo di sicurezza corrisponde così ad un periodo minimo e assoluto di revoca, durante il quale non può avvenire il rilascio anticipato di una nuova licenza, neppure condizionatamente (cosiddetta "Sperrfristwirkung; cfr. R. Schaffhauser, op. cit., n. 2180 segg., in particolare n. 2185; FF 1986 III pag. 199). 5.2. Come si è visto, il ricorrente è già stato oggetto di sei misure di revoca della licenza di condurre. Ora, l'ultimo provvedimento adottato nei suoi confronti, della durata di sei mesi, si è concluso soltanto il 30 giugno 1998. Si deve inoltre considerare che l'insorgente, precedentemente al provvedimento di revoca qui in esame, è già stato colto a circolare a velocità eccessiva/inadeguata in quattro occasioni, si è allontanato dal luogo del sinistro in due occasioni e per ben quattro volte ha perso la padronanza del proprio veicolo. Orbene, già queste esperienze avrebbe dovuto bastare per impedirgli di ricadere nelle medesime infrazioni. Tuttavia, malgrado i lunghi periodi di revoca che ha dovuto scontare, egli non ha tratto alcun insegnamento dalla vicenda. In definitiva, le precedenti revoche non hanno raggiunto lo scopo voluto. Questa conclusione è pure confortata dal parere dei periti lic. psic. __________ e dr. med. __________, secondo i quali sarà necessario un lungo periodo prima che l'interessato superi i suoi problemi. 5.3. In simili circostanze, la durata di cinque anni appare adeguata alle circostanze, esistendo un rapporto ragionevole tra il risultato prefissato e le restrizioni imposte. La misura risulta idonea e necessaria per raggiungere lo scopo di interesse pubblico dettato dalla sicurezza in materia di circolazione stradale. Ancorché severa, la decisione censurata non procede da un esercizio abusivo del potere di apprezzamento che la legge riserva all’autorità competente in ordine alla valutazione dell’adeguatezza della misura adottata. 6.   Il ricorrente, titolare di un'azienda operante nel settore automobilistico, non può appellarsi all'asserita necessità di condurre per motivi professionali. Questo fattore può avere rilevanza unicamente nell'ambito di una revoca a scopo di ammonimento (art. 33 cpv. 2 OAC). Non viene per contro tenuta in considerazione se è stata pronunciata una revoca a scopo di sicurezza, come nella fattispecie, dove si deve statuire essenzialmente circa l'idoneità o meno di una persona alla guida di veicoli (art. 33 cpv. 1 OAC; Perrin, Délivrance et retrait du permis de conduire, tesi Friborgo, 1982, pag. 195). 7.   Visto quanto precede, il ricorso deve essere respinto. La tassa di giustizia e le spese seguono la soccombenza (art. 28 PAmm). Per questi motivi, visti gli art. 14 cpv. 2 lett. d, 16 cpv. 1, 17 cpv. 2, 23 cpv. 3 LCStr; 10 LALCStr; 9 e 33 OAC; 18 cpv. 1, 19, 28, 43, 46, 60, 61 e 62 PAmm; dichiara e pronuncia: 1.   Il ricorso è respinto. 2.   La tassa di giustizia e le spese di fr. 800.-- sono poste a carico del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