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52.2000.218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https://mcp.opencaselaw.ch/entscheid/ti_gerichte_52.2000.218</w:t>
      </w:r>
    </w:p>
    <w:p>
      <w:r>
        <w:t>FR: TI_GERICHTE 52.2000.218 du 24 novembre 2000</w:t>
      </w:r>
    </w:p>
    <w:p>
      <w:r>
        <w:t>IT: TI_GERICHTE 52.2000.218 del 24 novembre 2000</w:t>
      </w:r>
    </w:p>
    <w:p>
      <w:pPr>
        <w:pStyle w:val="Heading2"/>
      </w:pPr>
      <w:r>
        <w:t>Volltext</w:t>
      </w:r>
    </w:p>
    <w:p>
      <w:r>
        <w:t>Incarto n.52.2000.00218</w:t>
      </w:r>
    </w:p>
    <w:p>
      <w:r>
        <w:t>Lugano</w:t>
      </w:r>
    </w:p>
    <w:p>
      <w:r>
        <w:t>24 novembre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19 settembre 2000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30 agosto 2000, no. 3386, del Consiglio di Stato che ha respinto l'impugnativa dell'insorgente avverso la risoluzione 15 maggio 2000 (DIM 146), con la quale la Sezione dei permessi e dell'immigrazione le ha negato il rinnovo del permesso di dimora;</w:t>
      </w:r>
    </w:p>
    <w:p>
      <w:r>
        <w:t>preso atto che il 23 novembre 2000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