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52.2000.200 vom 7. November 2000</w:t>
      </w:r>
    </w:p>
    <w:p>
      <w:r>
        <w:t>TI Tribunale d'appello, 2000-11-07, IT</w:t>
      </w:r>
    </w:p>
    <w:p>
      <w:r>
        <w:rPr>
          <w:b/>
        </w:rPr>
        <w:t xml:space="preserve">Quelle: </w:t>
      </w:r>
      <w:r>
        <w:t>https://mcp.opencaselaw.ch/entscheid/ti_gerichte_52.2000.200</w:t>
      </w:r>
    </w:p>
    <w:p>
      <w:r>
        <w:t>FR: TI_GERICHTE 52.2000.200 du 7 novembre 2000</w:t>
      </w:r>
    </w:p>
    <w:p>
      <w:r>
        <w:t>IT: TI_GERICHTE 52.2000.200 del 7 novembre 2000</w:t>
      </w:r>
    </w:p>
    <w:p>
      <w:pPr>
        <w:pStyle w:val="Heading2"/>
      </w:pPr>
      <w:r>
        <w:t>Regeste</w:t>
      </w:r>
    </w:p>
    <w:p>
      <w:r>
        <w:t>Sentenza o decisione senza scheda</w:t>
      </w:r>
    </w:p>
    <w:p>
      <w:pPr>
        <w:pStyle w:val="Heading2"/>
      </w:pPr>
      <w:r>
        <w:t>Erwägungen</w:t>
      </w:r>
    </w:p>
    <w:p>
      <w:r>
        <w:rPr>
          <w:b/>
        </w:rPr>
        <w:t>E. 13</w:t>
      </w:r>
    </w:p>
    <w:p>
      <w:r>
        <w:t>marzo 2000, alla base dell'ordine di inoltrare una domanda di costruzione, il municipio non ha per contro rimproverato all'insorgente tale utilizzazione, bensì di aver ricavato dal piano in rassegna un ufficio, un servizio igienico, un locale mensa e svariati vani di lavoro (per tinteggio, pulizia pennelli ecc.). L'asserito ritardo con cui il municipio ha reagito di fronte alla trasformazione posta in essere dal ricorrente pur essendo a conoscenza della stessa da svariati anni potrebbe al più, semmai fosse effettivamente accertato, avere una rilevanza nell'ambito della definizione delle misure di ripristino (Mäder, Das Baubewilligungsverfahren, Zurigo 1991, n. 663; Bovay, Le permis de construire en droit vaudois, Losanna 1988, pag. 204 segg., Scolari, op. cit., n. 1296 ad art. 43 LE): non permette invece di soprassedere alla verifica della conformità dell'intervento con il diritto sostanziale concretamente applicabile. Del pari, nemmeno l'asserita impossibilità, per il municipio, di ordinare delle misure di ripristino per intervenuta perenzione giusta l'art. 57 vLE, impedisce all'autorità di esigere l'inoltro di una domanda di costruzione in sanatoria (STA inedite 28 febbraio 1992, inc. DP 489/91, in re comunione ereditaria L. R., 3 gennaio 1994, inc. DP 164/93, in re comune di __________). 4.3. Il ricorso, su questo punto, deve pertanto essere respinto. 5.   La tassa di giudizio deve essere posta a carico del ricorrente (art. 28 PAmm), il quale deve inoltre essere condannato a versare al comune di __________, assistito da un avvocato, delle adeguate ripetibili (art. 31 PAmm). Per questi motivi, visti gli art. 1, 3, 21 LE, 3, 13, 18, 21, 28, 31, 43, 46 PAmm dichiara e pronuncia: 1.   Il ricorso</w:t>
      </w:r>
    </w:p>
    <w:p>
      <w:r>
        <w:rPr>
          <w:b/>
        </w:rPr>
        <w:t>E. 18</w:t>
      </w:r>
    </w:p>
    <w:p>
      <w:r>
        <w:t>maggio 2000 è stralciato dai ruoli in quanto divenuto privo di oggetto. 2.   Il ricorso 17 agosto 2000 è respinto, nella misura in cui è ricevibile. 3.   La tassa di giudizio e le spese, per complessivi fr. 800.--, sono posti a carico del ricorrente, che è inoltre condannato a versare al comune di __________ identico importo per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