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52.2000.191 vom 8. Mai 2001</w:t>
      </w:r>
    </w:p>
    <w:p>
      <w:r>
        <w:t>TI Tribunale d'appello, 2001-05-08, IT</w:t>
      </w:r>
    </w:p>
    <w:p>
      <w:r>
        <w:rPr>
          <w:b/>
        </w:rPr>
        <w:t xml:space="preserve">Quelle: </w:t>
      </w:r>
      <w:r>
        <w:t>https://mcp.opencaselaw.ch/entscheid/ti_gerichte_52.2000.191</w:t>
      </w:r>
    </w:p>
    <w:p>
      <w:r>
        <w:t>FR: TI_GERICHTE 52.2000.191 du 8 mai 2001</w:t>
      </w:r>
    </w:p>
    <w:p>
      <w:r>
        <w:t>IT: TI_GERICHTE 52.2000.191 del 8 maggio 2001</w:t>
      </w:r>
    </w:p>
    <w:p>
      <w:pPr>
        <w:pStyle w:val="Heading2"/>
      </w:pPr>
      <w:r>
        <w:t>Regeste</w:t>
      </w:r>
    </w:p>
    <w:p>
      <w:r>
        <w:t>Sentenza o decisione senza scheda</w:t>
      </w:r>
    </w:p>
    <w:p>
      <w:pPr>
        <w:pStyle w:val="Heading2"/>
      </w:pPr>
      <w:r>
        <w:t>Erwägungen</w:t>
      </w:r>
    </w:p>
    <w:p>
      <w:r>
        <w:rPr>
          <w:b/>
        </w:rPr>
        <w:t>E. 2</w:t>
      </w:r>
    </w:p>
    <w:p>
      <w:r>
        <w:t>Ordine di demolizione</w:t>
      </w:r>
    </w:p>
    <w:p>
      <w:r>
        <w:rPr>
          <w:b/>
        </w:rPr>
        <w:t>E. 2.1</w:t>
      </w:r>
    </w:p>
    <w:p>
      <w:r>
        <w:t>Un ordine di ripristino cresciuto in giudicato può essere rimesso in discussione soltanto in casi eccezionali, in particolare quando il provvedimento viene a porsi in contrasto con il diritto entrato successivamente in vigore oppure quando l'interesse pubblico alla sua attuazione viene meno con il trascorrere del tempo (Scolari, Commentario, II. ed., ad art. 45 LE, n. 1328).</w:t>
      </w:r>
    </w:p>
    <w:p>
      <w:r>
        <w:rPr>
          <w:b/>
        </w:rPr>
        <w:t>E. 2.2</w:t>
      </w:r>
    </w:p>
    <w:p>
      <w:r>
        <w:t>In concreto, tali presupposti non sono adempiuti. I motivi che hanno indotto il Consiglio di Stato a confermare il diniego della licenza edilizia sussistono tuttora. L'opera realizzata abusivamente viola tuttora le distanze da confine previste sia per la zona del nucleo, sia per la zona R2, continua a determinare un superamento dell'indice di occupazione ammesso dall'art. 21 NAPR e non rispetta nemmeno l'art. 20 NAPR, che esige di realizzare i tetti delle costruzioni del nucleo in coppi o tegole brune. La revisione in corso del PR non giova alla causa del ricorrente. Avviato nel 1997 con l'allestimento del piano degli indirizzi, lo studio pianificatorio non ha ancora superato lo stadio iniziale. Gli intenti pianificatori, appena abbozzati, non si sono ancora concretizzati in un disegno preciso, suscettibile di inficiare la legittimità dell'ordine di ripristino. Neppure i problemi di salute che affliggono l'insorgente permettono di giungere a conclusioni a lui più favorevoli. Trattasi infatti di aspetti soggettivi che nulla hanno a che vedere con l'applicazione del diritto che regola l'attività edilizia (cfr. art. 2 cpv. 1 LE). 3.   Muro di cinta 3.1. Come ha giustamente osservato l'Esecutivo cantonale, qualora l'ordinamento edilizio comunale non regoli l'altezza massima dei muri di cinta, la lacuna va colmata facendo capo all'altezza massima di m 2.50, sancita dall'art. 134 cpv. 2 LAC. A meno che le NAPR richiamino esplicitamente il criterio di misurazione fissato dal cpv. 3 di tale norma, l'altezza delle costruzioni si determina invece in base all'art. 40 LE (cfr. art. 7 cifra. 1 NAPR). Fa quindi stato l'ingombro verticale dell'opera, misurato a partire dal terreno sistemato sino al filo superiore del cornicione di gronda o del parapetto. Le NAPR di __________ non fissano né l'altezza massima dei muri di cinta, né i criteri di misurazione. Torna pertanto applicabile il limite di m 2.50 e l'art. 40 LE. 3.2. Il muro di cinta in contestazione, così come progettato, presenta un'altezza di m 2.10 verso il fondo delle resistenti, posto ad una quota leggermente superiore, rispettivamente di m 2.60 verso quello dell'insorgente: superando l'altezza massima fissata dall’art. 134 LAC, esso non può essere autorizzato. La difformità può tuttavia essere facilmente corretta, imponendo al ricorrente di limitare l'altezza del manufatto a m 2.50 su entrambi i lati. La rettifica imposta dalla decisione governativa impugnata sfugge quindi alle critiche del ricorrente. 4.   Materiali 4.1. Giusta l'art. 20 NAPR nella zona del nucleo di villaggio ogni intervento deve essere adeguato convenientemente all'aspetto tradizionale di tale comparto. Sentito il parere dell'autorità competente possono essere stabilite condizioni particolari per l'impiego di materiali e tinteggi. I tetti devono essere a falde coperti con coppi o tegole brune; la pendenza dovrà essere adeguata a quella degli edifici circostanti. Il concetto di "inserimento adeguato" è di natura indeterminata (Scolari, Diritto amministrativo, vol. 1, n. 208). Esso lascia quindi all'autorità decidente una latitudine di giudizio relativamente ampia in ordine alll'individuazione del suo contenuto precettivo. Da parte delle istanze di ricorso sono censurabili unicamente le interpretazioni lesive del diritto, in quanto manifestamente sprovviste di ragioni obiettive, incongruenti con le finalità perseguite dalla norma o insostenibili dal profilo dell'adeguatezza. 4.2. Il ricorrente ha previsto di coprire la veranda d'ingresso con un tetto piano, utilizzabile per la coltivazione di piante grasse. Il Consiglio di Stato gli ha imposto di sostituirlo con un tetto a falde in coppi o tegole brune con pendenza adeguata a quella degli edifici circostanti. La condizione è perfettamente conforme all'art. 20 NAPR, che nella zona del nucleo ammette solo tetti a falde. Stando alla domanda di costruzione la parete della veranda che confina con il fondo delle resistenti sul prolungamento del muro di confine dovrebbe essere realizzata con pannelli di legno prefabbricati. Il Governo ha imposto al ricorrente di realizzarla in muratura. Anche questa rettifica va esente da critiche. I pannelli di legno prefabbricati costituiscono in effetti materiali palesemente estranei alla tipologia delle costruzioni del nucleo. 4.3. Ingiustificato appare invece l'obbligo imposto dal Governo di realizzare l'opera di cinta in muratura anziché in pannelli prefabbricati. Il muro sorge infatti nella zona R2, nella quale non vigono particolari vincoli estetici. Non è sufficiente che giunga a confine con la zona del nucleo per estendere l'applicazione dell'art. 20 NAPR. Né giustifica una simile estensione del campo di applicazione di tale norma il fatto che il nucleo di __________ sia dichiarato sito pittoresco. 5.   Sulla scorta di quanto sin qui esposto, il ricorso può essere accolto soltanto nella misura in cui contesta l'obbligo di realizzare l'opera di cinta in muratura. Per il resto va respinto, confermando la decisione governativa impugnata. La tassa di giustizia e le spese sono poste a carico delle parti proporzionalmente al rispettivo grado di soccombenza (art. 28 PAmm). Non si assegnano ripetibili poiché le parti non si sono avvalse del patrocinio di un avvocato (art. 31 PAmm). Per questi motivi, visti gli art. 21, 40 LE; 134 LAC; 2 DLBN; 20, 21 NAPR di __________; 3, 18, 28, 31, 60, 61, 65 PAmm; dichiara e pronuncia: 1.   Il ricorso è parzialmente accolto. § Di conseguenza: 1.1.   il dispositivo 1.2. della decisione 27 giugno 2000 del Consiglio di Stato (n. 2724) è riformato nel senso che è annullata la condizione di realizzare il muro di cinta in muratura; 1.2.   per il resto, la decisione 27 giugno 2000 del Consiglio di Stato (n. 2724) è confermata. 2.   La tassa di giustizia e le spese di complessivi fr. 800.-- sono a carico del ricorrente nella misura di fr. 700.- e delle resistenti in solido per la differenza.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