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52.2000.170 vom 26. Oktober 2001</w:t>
      </w:r>
    </w:p>
    <w:p>
      <w:r>
        <w:t>TI Tribunale d'appello, 2001-10-26, IT</w:t>
      </w:r>
    </w:p>
    <w:p>
      <w:r>
        <w:rPr>
          <w:b/>
        </w:rPr>
        <w:t xml:space="preserve">Quelle: </w:t>
      </w:r>
      <w:r>
        <w:t>https://mcp.opencaselaw.ch/entscheid/ti_gerichte_52.2000.170</w:t>
      </w:r>
    </w:p>
    <w:p>
      <w:r>
        <w:t>FR: TI_GERICHTE 52.2000.170 du 26 octobre 2001</w:t>
      </w:r>
    </w:p>
    <w:p>
      <w:r>
        <w:t>IT: TI_GERICHTE 52.2000.170 del 26 ottobre 2001</w:t>
      </w:r>
    </w:p>
    <w:p>
      <w:pPr>
        <w:pStyle w:val="Heading2"/>
      </w:pPr>
      <w:r>
        <w:t>Regeste</w:t>
      </w:r>
    </w:p>
    <w:p>
      <w:r>
        <w:t>Sentenza o decisione senza scheda</w:t>
      </w:r>
    </w:p>
    <w:p>
      <w:pPr>
        <w:pStyle w:val="Heading2"/>
      </w:pPr>
      <w:r>
        <w:t>Erwägungen</w:t>
      </w:r>
    </w:p>
    <w:p>
      <w:r>
        <w:rPr>
          <w:b/>
        </w:rPr>
        <w:t>E. 1</w:t>
      </w:r>
    </w:p>
    <w:p>
      <w:r>
        <w:t>il mq. Una simile quotazione può essere senz'altro attribuita anche ai 204 mq del mapp. __________, un prato che al pari di quelli circostanti è utilizzabile solo quale pascolo e che non beneficia di un accesso garantito da diritto di passo. Quanto al valore del terreno posto attorno al rustico __________, occorre preliminarmente sottolineare che secondo la giurisprudenza a questo genere di aree deve essere attribuita una valenza di mercato che trascende il mero valore agricolo fino ad avvicinare, se non addirittura a parificare, quello del terreno edificabile. Questo perché le costruzioni fuori zona riattate per l'abitazione o suscettibili di essere trasformate godono di una situazione di fatto privilegiata in funzione del loro stesso statuto e dell'inedificabilità che grava i fondi vicini. Tanto il mercato immobiliare quanto il diritto delle espropriazioni e, di riflesso, quello delle permute, prendono in conto tale vantaggio, che si ripercuote non solo sullo stabile, ma anche sul terreno su cui sorge l'edificio e sulla superficie di disimpegno normalmente richiesta dal genere e dall'importanza della costruzione: terreno per il quale un potenziale acquirente è di regola disposto a pagare un prezzo di area fabbricabile (DTF 119 Ib 366 consid. 3c, 112 Ib 537 consid. 4a). Questa teoria, mutatis mutandis, si attaglia perfettamente alla fattispecie, ove solo si consideri il prezzo che dovrebbe solvere il proprietario del mapp. __________ per acquisire sul libero mercato lo spazio verde circostante il rustico. Ai fini del giudizio il Tribunale ha dunque indagato circa i prezzi soluti di recente per l'acquisto di sedimi edificabili in quel di __________, rinvenendo cifre che vanno da un minimo di fr. 35.- il mq a un massimo di fr. 120.- il mq a dipendenza della zona di situazione e delle peculiarità dei fondi. Ha pure visionato la superficie verde richiesta in permuta, che si presenta in pendenza e parzialmente boscata, giungendo alla conclusione che a fronte di queste caratteristiche per nulla straordinarie il suo valore venale non può essere superiore a fr. 50.- il mq. Poste queste premesse il conguaglio dovuto al patriziato dall'istante in permuta viene fissato in complessivi fr. 9'996.- (fr. 50.-/mq ./. fr. 1.-/mq x 204 mq). 5.   Sulla scorta di quanto precede il ricorso di __________ è respinto, mentre quello del patriziato merita parziale accoglimento con la conseguente riforma della decisione impugnata nel senso dianzi esposto. La tassa di giustizia viene ripartita tra le parti in funzione dell'esito delle rispettive impugnative (art. 28 PAmm). Per questi motivi, visti gli art. 83 ss. LRPT; 18, 28, 43, 46 e 60 ss. PAmm, dichiara e pronuncia: 1.   Il ricorso di __________ è respinto. 2.   Il ricorso dell'Ufficio patriziale di __________ è parzialmente accolto. §    Di conseguenza la decisione 16 giugno 2000 del Perito distrettuale di Locarno è riformata limitatamente all'ammontare del conguaglio dovuto da __________, che viene fissato in fr. 9'996.-. 3.   La tassa di giudizio di fr. 900.- è posta a carico di __________ nella misura di fr. 600.- e del patriziato per la differenza.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