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52.2000.127 vom 7. November 2000</w:t>
      </w:r>
    </w:p>
    <w:p>
      <w:r>
        <w:t>TI Tribunale d'appello, 2000-11-07, IT</w:t>
      </w:r>
    </w:p>
    <w:p>
      <w:r>
        <w:rPr>
          <w:b/>
        </w:rPr>
        <w:t xml:space="preserve">Quelle: </w:t>
      </w:r>
      <w:r>
        <w:t>https://mcp.opencaselaw.ch/entscheid/ti_gerichte_52.2000.127</w:t>
      </w:r>
    </w:p>
    <w:p>
      <w:r>
        <w:t>FR: TI_GERICHTE 52.2000.127 du 7 novembre 2000</w:t>
      </w:r>
    </w:p>
    <w:p>
      <w:r>
        <w:t>IT: TI_GERICHTE 52.2000.127 del 7 novembre 2000</w:t>
      </w:r>
    </w:p>
    <w:p>
      <w:pPr>
        <w:pStyle w:val="Heading2"/>
      </w:pPr>
      <w:r>
        <w:t>Regeste</w:t>
      </w:r>
    </w:p>
    <w:p>
      <w:r>
        <w:t>Sentenza o decisione senza scheda</w:t>
      </w:r>
    </w:p>
    <w:p>
      <w:pPr>
        <w:pStyle w:val="Heading2"/>
      </w:pPr>
      <w:r>
        <w:t>Erwägungen</w:t>
      </w:r>
    </w:p>
    <w:p>
      <w:r>
        <w:rPr>
          <w:b/>
        </w:rPr>
        <w:t>E. 1</w:t>
      </w:r>
    </w:p>
    <w:p>
      <w:r>
        <w:t>lett. b n. 3 OG (DTF 122 II 5 consid. 1e, 292 consid. 1e, 389 consid. 1b, 93 consid. 1c) e, di riflesso, nella presente sede attraverso il rinvio di cui all'art. 10 lett. a LALPS. Nella fattispecie, il ricorrente sostiene di aver mantenuto con la moglie __________ un legame intenso e vivo nonostante la loro separazione, dovuta alla sua incarcerazione in Italia ed al fatto che successivamente, nel 1995, il dipartimento non gli aveva rilasciato un permesso di dimora. Per la soluzione della vertenza non è ad ogni buon conto necessario esaminare più a fondo la natura e l'intensità del vincolo familiare che lega il ricorrente alla consorte, per le ragioni che seguono (cfr. consid. 2).</w:t>
      </w:r>
    </w:p>
    <w:p>
      <w:r>
        <w:rPr>
          <w:b/>
        </w:rPr>
        <w:t>E. 1.6</w:t>
      </w:r>
    </w:p>
    <w:p>
      <w:r>
        <w:t>Il gravame in oggetto, tempestivo (art. 46 cpv. 1 PAmm) e presentato da una persona senz'altro legittimata a ricorrere (art. 43 PAmm), è pertanto ricevibile in ordine e può essere evaso sulla base degli atti, senza istruttoria (art. 18 cpv. 1 PAmm). 2.   2.1. Giusta l'art. 9 LALPS, entro 15 giorni dalla notifica della decisione dell'autorità è dato ricorso al Consiglio di Stato, a meno che la legge non preveda diversamente (cfr. anche art. 46 cpv. 1 PAmm). I termini stabiliti dalla legge sono perentori (art. 11 primo periodo PAmm). In concreto, la decisione 15 novembre 1999 della Sezione dei permessi e dell'immigrazione, munita dei mezzi e dei termini di ricorso, è stata inviata per posta raccomandata il giorno successivo al domicilio coniugale del ricorrente (via __________ a __________), il quale non l'ha ritirata durante il periodo di giacenza di 7 giorni, dal 17 al 24 novembre successivo. L'invio è pertanto stato retrocesso al mittente. I 15 giorni per impugnare il provvedimento hanno quindi iniziato a decorrere il 25 novembre 1999, equivalente al giorno successivo il settimo giorno di giacenza all'ufficio postale, e sono scaduti il 9 dicembre 1999 (v. art. 4.6 lett. b 1° periodo della Condizioni generali della posta, stato all'1.1. 1999; cfr. anche l'art. 169 cpv. 1 lett. d dell'abrogata Ordinanza 1 della Legge federale sul servizio delle poste). Va infatti ricordato che la decisione è considerata notificata al destinatario, se non ritirata alla posta, l'ultimo dei 7 giorni durante i quali rimane depositata presso l'ufficio (v. Borghi/Corti, Compendio di procedura amministrativa ticinese, n. 1b ad art. 14 con rif.). Ne consegue che la decisione di non rilasciare a __________ un permesso di dimora adottata dalla Sezione dei permessi e dell'immigrazione è cresciuta in giudicato il 9 dicembre 1999. Il ricorso al Consiglio di Stato inoltrato dall'insorgente il 29 dicembre 1999 era dunque manifestamente tardivo. Il Governo avrebbe pertanto dovuto dichiarare irricevibile il gravame di __________ senza esaminarlo nel merito. 2.2. Non porta a diversa conclusione il fatto che il 17 dicembre 1999 il dipartimento aveva rispedito al ricorrente la risoluzione del 15 novembre precedente e che l'interessato l'aveva in seguito impugnata entro i termini ricorsuali a partire della seconda notificazione. In effetti, a quella data la decisione dipartimentale era già cresciuta in giudicato (cfr. DTF 115 Ia 18 segg., consid. 4; Egli, La protection de la bonne foi dans le procès, in: Rep. 1991 232). Tanto più che nella risposta al ricorso al Consiglio di Stato, la Sezione dei permessi e dell'immigrazione aveva sollevato la tardività del gravame e che in sede di replica il ricorrente non aveva contestato alcunché in merito, segnatamente di non aver ricevuto l'avviso di ritiro del primo invio. Né, d'altra parte, egli ha invocato la restituzione in intero contro il lasso dei termini (art. 12 PAmm). 2.3. Il ricorso inoltrato da __________ dinanzi a questo Tribunale deve dunque essere respinto già per questo motivo. 3.   Tassa e spese di giustizia seguono la soccombenza (art. 28 PAmm). Per questi motivi, visti gli art. 1, 4, 17 cpv. 2 LDDS; 8 ODDS; 8 CEDU; 100 cpv. 1 lett. b n. 3 OG; 9 e 10 lett. a LALPS; 3, 10, 11, 14, 18, 28, 43, 46, 60, 61 PAmm; dichiara e pronuncia: 1.   Il ricorso è respinto. §.  Di conseguenza __________, cittadino della Repubblica di Bosnia-Erzegovina, è tenuto a lasciare il territorio del Cantone Ticino entro il 15 gennaio 2001 notificando la propria partenza al competente ufficio regionale degli stranieri. 2.   La tassa e le spese di giustizia, per complessivi di fr. 800.–, sono poste a carico del ricorrente. 3.   Contro la presente decisione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