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52.2000.121 vom 5. September 2000</w:t>
      </w:r>
    </w:p>
    <w:p>
      <w:r>
        <w:t>TI Tribunale d'appello, 2000-09-05, IT</w:t>
      </w:r>
    </w:p>
    <w:p>
      <w:r>
        <w:rPr>
          <w:b/>
        </w:rPr>
        <w:t xml:space="preserve">Quelle: </w:t>
      </w:r>
      <w:r>
        <w:t>https://mcp.opencaselaw.ch/entscheid/ti_gerichte_52.2000.121</w:t>
      </w:r>
    </w:p>
    <w:p>
      <w:r>
        <w:t>FR: TI_GERICHTE 52.2000.121 du 5 septembre 2000</w:t>
      </w:r>
    </w:p>
    <w:p>
      <w:r>
        <w:t>IT: TI_GERICHTE 52.2000.121 del 5 settembre 2000</w:t>
      </w:r>
    </w:p>
    <w:p>
      <w:pPr>
        <w:pStyle w:val="Heading2"/>
      </w:pPr>
      <w:r>
        <w:t>Regeste</w:t>
      </w:r>
    </w:p>
    <w:p>
      <w:r>
        <w:t>Sentenza o decisione senza scheda</w:t>
      </w:r>
    </w:p>
    <w:p>
      <w:pPr>
        <w:pStyle w:val="Heading2"/>
      </w:pPr>
      <w:r>
        <w:t>Erwägungen</w:t>
      </w:r>
    </w:p>
    <w:p>
      <w:r>
        <w:rPr>
          <w:b/>
        </w:rPr>
        <w:t>E. 7</w:t>
      </w:r>
    </w:p>
    <w:p>
      <w:r>
        <w:t>e 8). La separazione dura oramai da ben oltre due anni. Va osservato infine che l'interessata ha ottenuto un permesso di dimora al fine di vivere con il marito e non per altri motivi. Il fatto che essa fosse stata autorizzata a svolgere un'attività lucrativa in Svizzera, è infatti soltanto una conseguenza dell’unione coniugale e non costituisce lo scopo della sua dimora. 5.   La ricorrente non può nemmeno invocare la protezione dell'art. 8 CEDU. In effetti, a dipendenza delle circostanze, lo straniero può prevalersi del diritto al rispetto della vita privata e famigliare tutelato dalla norma in oggetto per opporsi all'eventuale separazione dalla famiglia ed ottenere il mantenimento del proprio permesso di dimora. Ora, per appellarsi alle garanzie sancite dall'art.</w:t>
      </w:r>
    </w:p>
    <w:p>
      <w:r>
        <w:rPr>
          <w:b/>
        </w:rPr>
        <w:t>E. 8</w:t>
      </w:r>
    </w:p>
    <w:p>
      <w:r>
        <w:t>CEDU, la straniera deve dimostrare che tra lei e la persona che beneficia del diritto di risiedere in Svizzera esiste una relazione stretta, intatta ed effettivamente vissuta (DTF 122 II 5 consid. 1e, 289 consid. 1c, 385 consid. 1c; 118 Ib 145). Orbene, a seguito dell'accertamento del vincolo matrimoniale di mera natura formale, che non merita tutela alcuna siccome abusivo, non si può ritenere che esista un legame familiare intatto ed effettivamente vissuto con il marito. Va osservato infine che la ricorrente, la quale soggiorna in Svizzera da soli tre anni, non invoca nemmeno l'impossibilità di un suo rientro in Patria, dove è nata ed è cresciuta. 6.   Sulla scorta di quanto precede, il ricorso va respinto. La tassa di giustizia e le spese seguono la soccombenza (art. 28 PAmm). Per questi motivi, visti gli art. 1, 4, 7, 9, 12 LDDS; 8 ODDS; 8 CEDU; 100 cpv. 1 lett. b n. 3 OG; 10 lett. a LALPS; 3, 18, 28, 43, 46, 60, 61 PAmm; dichiara e pronuncia: 1.   Il ricorso è respinto. §.  Di conseguenza __________, cittadina lettone, è tenuta a lasciare il territorio cantonale entro il 31 ottobre 2000 notificandone la partenza al competente ufficio regionale degli stranieri. 2.   Tassa e spese di giustizia, per complessivi fr. 800.–, sono a carico della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