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52.2000.107 vom 21. August 2000</w:t>
      </w:r>
    </w:p>
    <w:p>
      <w:r>
        <w:t>TI Tribunale d'appello, 2000-08-21, IT</w:t>
      </w:r>
    </w:p>
    <w:p>
      <w:r>
        <w:rPr>
          <w:b/>
        </w:rPr>
        <w:t xml:space="preserve">Quelle: </w:t>
      </w:r>
      <w:r>
        <w:t>https://mcp.opencaselaw.ch/entscheid/ti_gerichte_52.2000.107</w:t>
      </w:r>
    </w:p>
    <w:p>
      <w:r>
        <w:t>FR: TI_GERICHTE 52.2000.107 du 21 août 2000</w:t>
      </w:r>
    </w:p>
    <w:p>
      <w:r>
        <w:t>IT: TI_GERICHTE 52.2000.107 del 21 agosto 2000</w:t>
      </w:r>
    </w:p>
    <w:p>
      <w:pPr>
        <w:pStyle w:val="Heading2"/>
      </w:pPr>
      <w:r>
        <w:t>Regeste</w:t>
      </w:r>
    </w:p>
    <w:p>
      <w:r>
        <w:t>Sentenza o decisione senza scheda</w:t>
      </w:r>
    </w:p>
    <w:p>
      <w:pPr>
        <w:pStyle w:val="Heading2"/>
      </w:pPr>
      <w:r>
        <w:t>Erwägungen</w:t>
      </w:r>
    </w:p>
    <w:p>
      <w:r>
        <w:rPr>
          <w:b/>
        </w:rPr>
        <w:t>E. 46</w:t>
      </w:r>
    </w:p>
    <w:p>
      <w:r>
        <w:t>cpv. 1 PAmm) e presentato da una persona senz'altro legittimata a ricorrere (art. 43 PAmm), è pertanto ricevibile in ordine. Per i motivi che saranno meglio precisati in appresso, il giudizio può essere reso sulla base degli atti integrati dall'incarto richiamato dal Tribunale presso la Pretura del Distretto di Lugano relativo alla procedura di divorzio/separazione dei coniugi __________, senza dover procedere all'assunzione delle prove notificate dalla ricorrente. Infatti, le - imprecisate - testimonianze offerte dall'insorgente non appaiono idonee a procurare a questo Tribunale la conoscenza di ulteriori elementi affidabili e di rilievo per il giudizio (art. 18 cpv. 1 PAmm). 2.   2.1. L'insorgente rimprovera al Consiglio di Stato di aver ignorato la sua richiesta di esperire un'istruttoria, rinunciando ad interrogare alcuni testi i quali avrebbero potuto confermare che i rapporti sentimentali tra i coniugi non sarebbero cessati durante la separazione. Le censure della ricorrente, che in sostanza si duole di una violazione del diritto di essere sentita, si rivelano infondate. 2.2. La natura ed i limiti del diritto di essere sentito sono determinati innanzi tutto dalla normativa procedurale cantonale. Se questa risulta insufficiente, valgono le garanzie minime dedotte dagli art. 29 nCost. e 6 CEDU, norme che assicurano all'interessato il diritto di esprimersi su tutti i punti essenziali di un procedimento prima che sia emanata una decisione e che gli garantiscono anche il diritto di partecipare all'assunzione delle prove, di conoscere i risultati delle stesse, di determinarsi a riguardo e di avanzare offerte di prova (DTF 120 Ib 379, 118 Ia 17; STF 7 giugno 1996 in re M.). La procedura amministrativa cantonale è retta dal principio inquisitorio (cfr. art. 18 cpv. 1 PAmm). In virtù di questo principio l'autorità amministrativa deve accertare d'ufficio gli elementi suscettibili di determinare la decisione ed assumere di sua iniziativa le prove necessarie confrontando accuratamente i contrapposti interessi (DTF 104 Ia 212), senza essere peraltro vincolata dalle domande delle parti. In quest'ambito, all'autorità spetta la facoltà di procedere al cosiddetto apprezzamento anticipato delle prove, rinunciando a quelle offerte dalle parti la cui assunzione non condurrebbe verosimilmente ad alcun nuovo chiarimento rilevante per il giudizio (DTF 109 II 398, 106 Ia 162, 104 V 210; Rep. 1980 p. 7; Borghi, GAT, N. 364). In base alla valutazione anticipata delle prove esibite, l'autorità amministrativa può quindi rifiutarsi di assumere quelle considerate ininfluenti, ma deve darne ragione nel proprio giudizio (RDAT II-1994 N. 50, 1990 N. 43). 2.3. In esito all'apprezzamento anticipato delle prove offerte, il Governo cantonale ha ritenuto che il ricorso potesse essere evaso sulla scorta degli atti annessi all'incarto senza che si rendesse necessaria un'ulteriore istruttoria, in quanto "la documentazione all'incarto risulta essere sufficiente per la congrua determinazione dei risvolti della controversa discussione" . Siffatta motivazione basta a giustificare la mancata audizione dei diversi  - ed imprecisati - testi offerti dalla ricorrente, atteso che gli atti di causa consentono effettivamente di farsi un'idea più che precisa circa la situazione dei coniugi dal profilo relazionale. Questo Tribunale rinuncia ad esperire un'istruttoria per le stesse ragioni, limitandosi a richiamare d'ufficio l'incarto relativo alla separazione dei coniugi __________. Tanto più che il Consiglio di Stato ha fondato il proprio giudizio sull'abuso del diritto, e non sulla natura fittizia del matrimonio (v. risoluzione governativa, consid. E pag. 9). 3.   Come già indicato in precedenza (consid. 1.4.), l'art. 7 cpv. 1 prima frase LDDS dispone che il coniuge straniero di un cittadino svizzero ha diritto al rilascio e alla proroga del permesso di dimora. Questo diritto - soggiunge il cpv. 2 della medesima norma - non sussiste se il matrimonio è stato contratto per eludere le prescrizioni in materia di dimora e domicilio degli stranieri, segnatamente quelle sulla limitazione del loro effettivo. Il permesso può anche essere negato in caso di abuso di diritto. L'abuso sussiste quando un diritto viene invocato per realizzare degli interessi che la legge, che prevede tale diritto, non vuole proteggere (Häfelin/Müller, Grundriss des Allgemeinen Verwaltungsrechts, p. 133; Imboden/Rhinow, Schweizerische Verwaltungsrechtsprechung, n. 74 e 78). Sono dati segnatamente gli estremi dell'abuso, allorquando lo straniero si richiama ad un matrimonio che sussiste solo formalmente unicamente per ottenere il rilascio o il rinnovo di un permesso di dimora (cfr. DTF 121 II 97 consid. 4). Tuttavia, una separazione di fatto dei coniugi non provoca necessariamente la perdita del diritto a un permesso di soggiorno (DTF 118 Ib 150 consid. 3b). Tale soluzione è stata scelta al fine di evitare che la presenza in Svizzera dello straniero dipenda dalla volontà del coniuge. Si è infatti inteso garantire al cittadino straniero il diritto di richiedere egli stesso l'adozione di misure di protezione dell'unione coniugale, segnatamente anche il diritto alla separazione giusta l'art. 175 CC, senza per ciò dover temere di essere allontanato dalla Svizzera. 4.   In concreto, va in primo luogo ricordato che il Consiglio di Stato, nonostante abbia ritenuto che vi fossero alcuni indizi di matrimonio fittizio (risoluzione ad E., pag. 9), ha fondato il proprio giudizio sull'abuso manifesto del diritto nell'invocare il vincolo coniugale. Cadono pertanto nel vuoto gli argomenti addotti dalla ricorrente, al fine di confutare l'esistenza della natura fittizia del matrimonio (breve durata della convivenza, mancanza di un permesso dell'interessata per risiedere in Svizzera, rapidità nello sposarsi). 5.   5.1. A partire dalle nozze celebrate il 24 maggio 1997, i coniugi __________ hanno vissuto insieme soltanto per poco più di un anno e mezzo. Dagli atti risulta infatti che essi si sono separati di fatto già nel corso dell'inverno 1998-99 (v. sentenza di separazione della Pretura del Distretto di Lugano, sez. 6, pag. 2; contratto di locazione 9 novembre 1998) e che il 14 luglio 1999 il Pretore ha pronunciato la separazione legale, la quale è cresciuta in giudicato. Va notato che il giudice civile ha "raggiunto il convincimento che le relazioni coniugali tra le stesse parti sono ormai sicuramente turbate e scosse al punto tale da non potersi ragionevolmente esigere dai coniugi la ripresa della vita in comune, e che di conseguenza la domanda di separazione per tempo indeterminato dev'essere accolta" (sentenza di separazione, pag. 2). 5.2. Da quanto precede risulta in modo manifesto l'abuso dell'insorgente nell'invocare il proprio matrimonio, privo di ogni contenuto e scopo da circa un anno e mezzo, al fine di continuare a beneficiare del permesso di soggiorno. La ricorrente sostiene invero che la separazione fosse riconducibile a grossi problemi sorti sotto l'aspetto dei suoi rapporti intimi con il marito. Sennonché, le sue difficoltà di ordine ginecologico sono state risolte con successo dopo un intervento chirurgico quando i coniugi vivevano ancora insieme (v. ricorso ad 2, pag. 3). Per quanto concerne le presunte difficoltà sentimentali cagionate dalla suocera, la quale non avrebbe accettato la loro unione, va osservato che se i coniugi __________ si sono separati per questi motivi, se ne deduce che la loro relazione era da tempo ben lungi dall'essere solida. Dall'incarto non risulta d'altronde che l'interessata abbia dovuto richiedere l'adozione di misure di protezione della comunione domestica. La sua domanda supercautelare, accolta inaudita parte dal Pretore il 3 febbraio 1999 (inc. DI 99.00088), era volta unicamente ad ottenere un contributo alimentare da parte dal marito. Il fatto che i coniugi avrebbero continuato ad incontrarsi durante la procedura di divorzio/separazione, quando era assente la suocera, non significa che tra di loro sussista una vera e propria relazione sentimentale e abbiano la volontà di ricomporre l'unione coniugale. Tanto più che __________ non si era semplicemente opposta al divorzio, ma aveva chiesto, con azione riconvenzionale, la separazione legale. Del resto, l'insorgente riconosce che il loro matrimonio è ancora in piena crisi (ricorso ad 5, pag. 4). Va infine osservato che l'interessata ha ottenuto un permesso di dimora al fine di vivere con il marito e non per altri motivi. Il fatto che essa fosse stata autorizzata a svolgere un'attività lucrativa in Svizzera, è infatti soltanto una conseguenza dell’unione coniugale e non costituisce lo scopo della sua dimora. 6.   La ricorrente non può nemmeno invocare la protezione dell'art. 8 CEDU. In effetti, a dipendenza delle circostanze, lo straniero può prevalersi del diritto al rispetto della vita privata e famigliare tutelato dalla norma in oggetto per opporsi all'eventuale separazione dalla famiglia ed ottenere il mantenimento del proprio permesso di dimora. Ora, per appellarsi alle garanzie sancite dall'art. 8 CEDU, la straniera deve dimostrare che tra lei e la persona che beneficia del diritto di risiedere in Svizzera esiste una relazione stretta, intatta ed effettivamente vissuta (DTF 122 II 5 consid. 1e, 289 consid. 1c, 385 consid. 1c; 118 Ib 145). Orbene, a seguito dell'accertamento del vincolo matrimoniale di mera natura formale che non merita tutela alcuna siccome abusivo, non si può ritenere che esista un legame familiare intatto ed effettivamente vissuto con il marito. Va osservato infine che la ricorrente, la quale soggiorna in Svizzera da soli tre anni, non invoca nemmeno l'impossibilità di un suo rientro in Patria, dove è nata ed è cresciuta. 7.   Sulla scorta di quanto precede, il ricorso va respinto. L'istanza di concessione dell'assistenza giudiziaria e del gratuito patrocinio va anch'essa respinta siccome il gravame era infondato sin dall'inizio (art. 30 PAmm). La tassa di giustizia e le spese seguono la soccombenza (art. 28 PAmm). Per questi motivi, visti gli art. visti gli art. 1, 4, 7, 9, 12 LDDS; 8 ODDS; 8 CEDU; 100 cpv. 1 lett. b n. 3 OG; 10 lett. a LALPS; 3, 18, 28, 43, 46, 60, 61 PAmm; dichiara e pronuncia: 1.   Il ricorso è respinto. §.  Di conseguenza __________, cittadina marocchina, è tenuta a lasciare il territorio cantonale entro il 15 ottobre 2000 notificandone la partenza al competente ufficio regionale degli stranieri. 2.   La domanda di ammissione all'assistenza giudiziaria e al gratuito patrocinio è respinta. 3.   Tassa e spese di giustizia, per complessivi fr. 800.–, sono a carico della ricorrente. 4.   Contro la presente decisione è dato ricorso di diritto amministrativo al Tribunale federale a Losanna nel termine di 30 giorni dall'intimazione. 5.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