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52.1999.151 vom 29. November 1999</w:t>
      </w:r>
    </w:p>
    <w:p>
      <w:r>
        <w:t>TI Tribunale d'appello, 1999-11-29, IT</w:t>
      </w:r>
    </w:p>
    <w:p>
      <w:r>
        <w:rPr>
          <w:b/>
        </w:rPr>
        <w:t xml:space="preserve">Quelle: </w:t>
      </w:r>
      <w:r>
        <w:t>https://mcp.opencaselaw.ch/entscheid/ti_gerichte_52.1999.151</w:t>
      </w:r>
    </w:p>
    <w:p>
      <w:r>
        <w:t>FR: TI_GERICHTE 52.1999.151 du 29 novembre 1999</w:t>
      </w:r>
    </w:p>
    <w:p>
      <w:r>
        <w:t>IT: TI_GERICHTE 52.1999.151 del 29 novembre 1999</w:t>
      </w:r>
    </w:p>
    <w:p>
      <w:pPr>
        <w:pStyle w:val="Heading2"/>
      </w:pPr>
      <w:r>
        <w:t>Regeste</w:t>
      </w:r>
    </w:p>
    <w:p>
      <w:r>
        <w:t>Sentenza o decisione senza scheda</w:t>
      </w:r>
    </w:p>
    <w:p>
      <w:pPr>
        <w:pStyle w:val="Heading2"/>
      </w:pPr>
      <w:r>
        <w:t>Erwägungen</w:t>
      </w:r>
    </w:p>
    <w:p>
      <w:r>
        <w:rPr>
          <w:b/>
        </w:rPr>
        <w:t>E. 1</w:t>
      </w:r>
    </w:p>
    <w:p>
      <w:r>
        <w:t>lett. l della menzionata disposizione) ed è soggetto ad adeguamento al carovita (cpv. 2 ultima frase della stessa). 2.3. La remunerazione del sorvegliante dell'acquedotto comunale di Marolta è dunque fissata in termini tanto rigidi quanto imperativi dal regolamento comunale. Come ha rettamente argomentato il Consiglio di Stato nel giudizio impugnato, il municipio non può stabilire uno stipendio di un dipendente comunale diverso da quello fissato dal regolamento comunale o del regolamento organico dei dipendenti, pena la violazione del principio della legalità. Come ha ulteriormente argomentato l'Esecutivo cantonale, assegnando uno stipendio superiore a quello di fr. 200.--/anno, il municipio ha disatteso - come del resto esso stesso ammette - l'art. 95bis RC. Ai fini del giudizio basta pertanto rilevare che ogni pretesa pecuniaria del dipendente eccedente quella somma non trova fondamento legale e non può, di conseguenza, essere accolta. Già per questo motivo il ricorso 25 maggio 1999 deve essere respinto e la risoluzione governativa 4 maggio 1999 tutelata nel merito. In considerazione dei motivi posti alla base di quest'ultima pronuncia deve altresì essere tutelato il diniego da parte del Governo di acquisire agli atti dell'ulteriore documentazione, come richiesto dal ricorrente, volta a corroborare nel dettaglio le sue prestazioni e pretese (art. 18 cpv. 1 PAmm). 2.4. Deve, del pari, essere respinto, nel merito, il ricorso inoltrato il 26 agosto 1999 contro la risoluzione con cui il Governo ha respinto la domanda di revisione della sua suddetta decisione. E questo già per il fatto che, com'è noto, il rimedio della revisione non è dato quando il difetto lamentato può essere censurato impugnando la decisione attraverso la via ordinaria di ricorso (RDAT II-1995 N. 17): possibilità di cui l'insorgente ha fatto uso. Per questo motivo, sotto lo stretto profilo formale, il Consiglio di Stato avrebbe addirittura dovuto dichiarare inammissibile l'istanza, senza esaminarla nel merito e respingerla. 3.   3.1. Nei procedimenti amministrativi di natura pecuniaria il Consiglio di Stato può applicare una tassa di giustizia variante tra fr. 10.-- e fr. 10'000.-- (art. 28 cpv. 1 lett. b PAmm). Nel concreto caso il Governo ha imposto una tassa di giudizio di fr. 400.-- relativamente al giudizio 4 maggio 1999 e di fr. 300.-- per quanto concerneva la decisione 6 luglio 1999 di evasione dell'istanza di revisione. Entrambi i giudizi, di agevole soluzione, sono stati evasi in stile telegrafico e con motivazione abbreviata. L'istanza di revisione poteva poi addirittura essere dichiarata d'acchito inammissibile. Avuto altresì riguardo ai ridotti valori economici in gioco, determinando le suddette tasse di giudizio il Governo è incorso in un abuso del potere d'apprezzamento che gli spettava a questo scopo (art. 61 PAmm). Per rientrare nei limiti della proporzionalità, il Tribunale riduce della metà le tasse esposte. Su questo punto il ricorso viene accolto. Fatto che determina, tecnicamente, un accoglimento parziale delle impugnative. 4.   La tassa di giudizio, ridotta a seguito dell'accoglimento parziale dell'impugnativa, vien posta carico del ricorrente (art. 28 PAmm). 5.   Copia del presente giudizio viene intimato alla sezione degli enti locali affinché abbia ad imporre ovvero il rispetto del RC ovvero un adeguamento della normativa comunale relativamente allo stipendio della funzione ricoperta dal ricorrente (art. 195 cpv. 1 lett. a LOC). Per questi motivi, visti gli art. 135, 136, 195, 208, 209 LOC, 3, 18, 28, 46, 61 PAmm; dichiara e pronuncia: 1.   I ricorsi sono parzialmente accolti. §.  Di conseguenza le tasse di giudizio esposte dal Consiglio di Stato nei giudizi impugnati sono ridotte della metà; 2.   La tassa di giudizio, di fr. 250.--, è posta a carico del ricorrente. 3.   Intimazione a: __________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